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80" w:rsidRDefault="00643280" w:rsidP="00643280">
      <w:pPr>
        <w:tabs>
          <w:tab w:val="left" w:pos="1545"/>
        </w:tabs>
        <w:spacing w:after="0" w:line="240" w:lineRule="auto"/>
        <w:ind w:right="288"/>
        <w:jc w:val="center"/>
        <w:rPr>
          <w:rFonts w:ascii="Times New Roman" w:hAnsi="Times New Roman" w:cs="Times New Roman"/>
        </w:rPr>
      </w:pPr>
      <w:r>
        <w:rPr>
          <w:rFonts w:ascii="Times New Roman" w:hAnsi="Times New Roman" w:cs="Times New Roman"/>
        </w:rPr>
        <w:t>Strengthening Eurozone Solidarity while Preserving Market Discipline</w:t>
      </w:r>
    </w:p>
    <w:p w:rsidR="00643280" w:rsidRDefault="00643280" w:rsidP="00643280">
      <w:pPr>
        <w:tabs>
          <w:tab w:val="left" w:pos="1545"/>
        </w:tabs>
        <w:spacing w:after="0" w:line="240" w:lineRule="auto"/>
        <w:ind w:right="288"/>
        <w:jc w:val="center"/>
        <w:rPr>
          <w:rFonts w:ascii="Times New Roman" w:hAnsi="Times New Roman" w:cs="Times New Roman"/>
        </w:rPr>
      </w:pPr>
    </w:p>
    <w:p w:rsidR="00643280" w:rsidRDefault="00643280" w:rsidP="00643280">
      <w:pPr>
        <w:tabs>
          <w:tab w:val="left" w:pos="1545"/>
        </w:tabs>
        <w:spacing w:after="0" w:line="240" w:lineRule="auto"/>
        <w:ind w:right="288"/>
        <w:jc w:val="center"/>
        <w:rPr>
          <w:rFonts w:ascii="Times New Roman" w:hAnsi="Times New Roman" w:cs="Times New Roman"/>
        </w:rPr>
      </w:pPr>
    </w:p>
    <w:p w:rsidR="00643280" w:rsidRDefault="00643280" w:rsidP="00643280">
      <w:pPr>
        <w:tabs>
          <w:tab w:val="left" w:pos="1545"/>
        </w:tabs>
        <w:spacing w:after="0" w:line="240" w:lineRule="auto"/>
        <w:ind w:right="288"/>
        <w:jc w:val="center"/>
        <w:rPr>
          <w:rFonts w:ascii="Times New Roman" w:hAnsi="Times New Roman" w:cs="Times New Roman"/>
        </w:rPr>
      </w:pPr>
      <w:r>
        <w:rPr>
          <w:rFonts w:ascii="Times New Roman" w:hAnsi="Times New Roman" w:cs="Times New Roman"/>
        </w:rPr>
        <w:t xml:space="preserve">Adam </w:t>
      </w:r>
      <w:proofErr w:type="spellStart"/>
      <w:r>
        <w:rPr>
          <w:rFonts w:ascii="Times New Roman" w:hAnsi="Times New Roman" w:cs="Times New Roman"/>
        </w:rPr>
        <w:t>Lerrick</w:t>
      </w:r>
      <w:proofErr w:type="spellEnd"/>
    </w:p>
    <w:p w:rsidR="00643280" w:rsidRDefault="00643280" w:rsidP="00643280">
      <w:pPr>
        <w:tabs>
          <w:tab w:val="left" w:pos="1545"/>
        </w:tabs>
        <w:spacing w:after="0" w:line="240" w:lineRule="auto"/>
        <w:ind w:right="288"/>
        <w:jc w:val="center"/>
        <w:rPr>
          <w:rFonts w:ascii="Times New Roman" w:hAnsi="Times New Roman" w:cs="Times New Roman"/>
        </w:rPr>
      </w:pPr>
    </w:p>
    <w:p w:rsidR="00643280" w:rsidRDefault="00643280" w:rsidP="00643280">
      <w:pPr>
        <w:tabs>
          <w:tab w:val="left" w:pos="1545"/>
        </w:tabs>
        <w:spacing w:after="0" w:line="240" w:lineRule="auto"/>
        <w:ind w:right="288"/>
        <w:jc w:val="center"/>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Summary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144"/>
        <w:rPr>
          <w:rFonts w:ascii="Times New Roman" w:hAnsi="Times New Roman" w:cs="Times New Roman"/>
        </w:rPr>
      </w:pPr>
      <w:r>
        <w:rPr>
          <w:rFonts w:ascii="Times New Roman" w:hAnsi="Times New Roman" w:cs="Times New Roman"/>
        </w:rPr>
        <w:t xml:space="preserve">In times of market stress, interest rates for weak Eurozone members rise creating an unexpected fiscal loss and interest rates for strong members fall generating an unexpected fiscal gain.  When market stability returns, the cost of funds of members reverse direction and return to their structural levels.  Shocks to financing costs can be measured by the change in the differential of a member’s cost of funds relative to the average of the cost of funds of all members weighted by shares in new bond issuance.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Every loss from an increase in relative financing cost for one Eurozone member is matched by a gain from a decrease in relative financing cost for other members.  A stabilization account that reallocates 50% of gains of members with temporary decreases in relative financing costs to offset 50% of losses of members with temporary increases in relative financing costs will achieve the following objectives: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1.  Eurozone solidarity is strengthened;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2.  Shocks to government financing costs are significantly moderated;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3.  No </w:t>
      </w:r>
      <w:proofErr w:type="spellStart"/>
      <w:r>
        <w:rPr>
          <w:rFonts w:ascii="Times New Roman" w:hAnsi="Times New Roman" w:cs="Times New Roman"/>
        </w:rPr>
        <w:t>mutualization</w:t>
      </w:r>
      <w:proofErr w:type="spellEnd"/>
      <w:r>
        <w:rPr>
          <w:rFonts w:ascii="Times New Roman" w:hAnsi="Times New Roman" w:cs="Times New Roman"/>
        </w:rPr>
        <w:t xml:space="preserve"> of liability and no transfer of credit risk among Eurozone members occurs;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4.  Market discipline and stabilizing incentives for both governments and investors are preserved;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5.  No change to Eurozone treaties is necessary;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6.  Requirements of the German Constitutional Court are fulfilled;</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7.  No capital is required.  The stabilization account is self-funding with inflows matching outflows at all times.  The European Stability Mechanism can easily manage the stabilization account;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8.  All resource flows are completely rules-based with no possibility of political influence.  Governments pursuing unsustainable policies will not receive funds;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9.  Any flow of resources should be temporary and should reverse automatically;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10.  At the peak of the crisis in 2012, more than € 2.5 billion per annum would have flowed from Northern Europe to Italy and Spain to offset 1/2 of the fiscal shock to their financing costs;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11.  The impact on national budgets is minimal.  Over the 2010-15 crisis cycle, the net contribution by the German government would have been € 78 million per annum;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12.  The European Central Bank can be removed from the fiscal policy sphere;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13.  Eurozone central control over national budgets is increased.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lastRenderedPageBreak/>
        <w:t xml:space="preserve">I.  Solidarity:  Moderating Shocks; Not Equalizing Funding Costs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Eurozone should not seek to equalize member financing costs.  However, the Eurozone should moderate shocks to member cost of funds.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Solidarity in return for responsibility is a core value of the Euro. However, Eurobonds and other forms of </w:t>
      </w:r>
      <w:proofErr w:type="spellStart"/>
      <w:r>
        <w:rPr>
          <w:rFonts w:ascii="Times New Roman" w:hAnsi="Times New Roman" w:cs="Times New Roman"/>
        </w:rPr>
        <w:t>mutualization</w:t>
      </w:r>
      <w:proofErr w:type="spellEnd"/>
      <w:r>
        <w:rPr>
          <w:rFonts w:ascii="Times New Roman" w:hAnsi="Times New Roman" w:cs="Times New Roman"/>
        </w:rPr>
        <w:t xml:space="preserve"> of liability homogenize credit risk and equalize member funding costs.  Incentives that create stability and discipline for both governments and investors are eliminated.  Without central Eurozone control over national budgets, common liability is unsustainable.  The massive transfers of resources from strong to weak members and the burden of the risk of irresponsible governments on sound member taxpayers is neither economically feasible nor politically acceptable.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In times of market stress, financing costs for weak Eurozone members rise creating an unexpected fiscal loss and interest rates for strong members fall creating an unexpected fiscal gain.  When market stability returns, the cost of funds of members reverse direction and return to their structural levels.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Under the current Euro framework, solidarity should include a cooperative reallocation of temporary shocks to national financing costs.  If a government faces an unexpected increase in its cost of funds, other members should help moderate the increased cost if the government is compliance with its European Commission fiscal obligations and resources will be returned when the shock dissipates.  Conversely, if a government receives an unexpected decrease in its cost of funds, a portion of the gain should be reallocated to less fortunate members.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II.  A Eurozone Benchmark Cost of Funds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international value of the Euro is the average of the currency values of its 19 members weighted by their competitiveness and their importance in the world economy.  Similarly, the Eurozone cost of government financing is the average of the market interest rates for the 19 national governments weighted by their shares of total new bond issuance volume.  There is no assumption of common liability.  Each member stands on its own credit risk.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A benchmark cost of Eurozone government funds (“Eurozone Benchmark”) will be established.  The Eurozone Benchmark will be the average of the individual member Maastricht criterion 10 year market interest rates weighted by each member’s share of total Eurozone government new fixed rate bond issuance volume during the year.  The market estimate of the relative creditworthiness of each member is measured by the differential in the member’s interest rate compared to the Eurozone Benchmark.  (See Table I below.)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III.  Unexpected Gains and Losses from Shocks to Member Financing Costs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Shocks to member financing costs can be determined by comparing the member’s current differential to the Eurozone Benchmark with its prior differential.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Each year, the average cost of financing on new 10 year fixed rate bond issues will be established for each Eurozone member.  The differential of each government’s cost of funds compared to the Eurozone Benchmark will be determined for the year.  The current year differential will then be compared to the differential in the government’s cost of funds versus the Eurozone Benchmark in the previous year.  The change in the differential measures the shock to the government’s financing cost.         </w:t>
      </w:r>
    </w:p>
    <w:p w:rsidR="00643280" w:rsidRDefault="00643280" w:rsidP="00643280">
      <w:pPr>
        <w:tabs>
          <w:tab w:val="left" w:pos="1545"/>
        </w:tabs>
        <w:spacing w:after="0" w:line="240" w:lineRule="auto"/>
        <w:ind w:right="288"/>
        <w:rPr>
          <w:rFonts w:ascii="Times New Roman" w:hAnsi="Times New Roman" w:cs="Times New Roman"/>
        </w:rPr>
      </w:pPr>
    </w:p>
    <w:p w:rsidR="00F52A15"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lastRenderedPageBreak/>
        <w:t xml:space="preserve">If a government’s current year differential is less than its previous year differential, the member has an unexpected gain from a reduction in relative financing costs.  If the current year differential is greater than its previous year differential, the member has an unexpected loss from an increase in relative financing costs.  </w:t>
      </w:r>
    </w:p>
    <w:p w:rsidR="00F52A15" w:rsidRDefault="00F52A15" w:rsidP="00643280">
      <w:pPr>
        <w:tabs>
          <w:tab w:val="left" w:pos="1545"/>
        </w:tabs>
        <w:spacing w:after="0" w:line="240" w:lineRule="auto"/>
        <w:ind w:right="288"/>
        <w:rPr>
          <w:rFonts w:ascii="Times New Roman" w:hAnsi="Times New Roman" w:cs="Times New Roman"/>
        </w:rPr>
      </w:pPr>
    </w:p>
    <w:p w:rsidR="00643280" w:rsidRDefault="00870B49"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As the </w:t>
      </w:r>
      <w:r w:rsidR="00DF6541">
        <w:rPr>
          <w:rFonts w:ascii="Times New Roman" w:hAnsi="Times New Roman" w:cs="Times New Roman"/>
        </w:rPr>
        <w:t xml:space="preserve">Eurozone </w:t>
      </w:r>
      <w:r>
        <w:rPr>
          <w:rFonts w:ascii="Times New Roman" w:hAnsi="Times New Roman" w:cs="Times New Roman"/>
        </w:rPr>
        <w:t xml:space="preserve">crisis intensified from </w:t>
      </w:r>
      <w:r w:rsidR="00F52A15">
        <w:rPr>
          <w:rFonts w:ascii="Times New Roman" w:hAnsi="Times New Roman" w:cs="Times New Roman"/>
        </w:rPr>
        <w:t>2010</w:t>
      </w:r>
      <w:r>
        <w:rPr>
          <w:rFonts w:ascii="Times New Roman" w:hAnsi="Times New Roman" w:cs="Times New Roman"/>
        </w:rPr>
        <w:t xml:space="preserve"> to </w:t>
      </w:r>
      <w:r w:rsidR="00F52A15">
        <w:rPr>
          <w:rFonts w:ascii="Times New Roman" w:hAnsi="Times New Roman" w:cs="Times New Roman"/>
        </w:rPr>
        <w:t xml:space="preserve">2012, Italy’s differential over the Eurozone Benchmark rose 1.65% per annum while Spain saw its relative cost of funds rise 2.33% per annum.  During the same period, the relative cost of funds of Germany and </w:t>
      </w:r>
      <w:r w:rsidR="006E7789">
        <w:rPr>
          <w:rFonts w:ascii="Times New Roman" w:hAnsi="Times New Roman" w:cs="Times New Roman"/>
        </w:rPr>
        <w:t xml:space="preserve">of </w:t>
      </w:r>
      <w:r w:rsidR="00F52A15">
        <w:rPr>
          <w:rFonts w:ascii="Times New Roman" w:hAnsi="Times New Roman" w:cs="Times New Roman"/>
        </w:rPr>
        <w:t>the Netherlands fell 1.26% per annum and 1.30% per annum respectively.</w:t>
      </w:r>
      <w:r w:rsidR="00626641">
        <w:rPr>
          <w:rFonts w:ascii="Times New Roman" w:hAnsi="Times New Roman" w:cs="Times New Roman"/>
        </w:rPr>
        <w:t xml:space="preserve">  The </w:t>
      </w:r>
      <w:r w:rsidR="006E7789">
        <w:rPr>
          <w:rFonts w:ascii="Times New Roman" w:hAnsi="Times New Roman" w:cs="Times New Roman"/>
        </w:rPr>
        <w:t xml:space="preserve">cost of funds </w:t>
      </w:r>
      <w:r w:rsidR="00626641">
        <w:rPr>
          <w:rFonts w:ascii="Times New Roman" w:hAnsi="Times New Roman" w:cs="Times New Roman"/>
        </w:rPr>
        <w:t xml:space="preserve">of Italy and </w:t>
      </w:r>
      <w:r w:rsidR="00C008EE">
        <w:rPr>
          <w:rFonts w:ascii="Times New Roman" w:hAnsi="Times New Roman" w:cs="Times New Roman"/>
        </w:rPr>
        <w:t xml:space="preserve">of </w:t>
      </w:r>
      <w:r w:rsidR="00626641">
        <w:rPr>
          <w:rFonts w:ascii="Times New Roman" w:hAnsi="Times New Roman" w:cs="Times New Roman"/>
        </w:rPr>
        <w:t xml:space="preserve">Spain versus Germany rose 2.91% per annum and 3.59% per annum respectively.  </w:t>
      </w:r>
      <w:r w:rsidR="00643280">
        <w:rPr>
          <w:rFonts w:ascii="Times New Roman" w:hAnsi="Times New Roman" w:cs="Times New Roman"/>
        </w:rPr>
        <w:t xml:space="preserve">(See Table II below.)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unexpected fiscal impact of a shock to each member’s financing cost is determined by multiplying its new fixed rate bond issuance volume during the year times the difference between its current year differential and its previous year differential.  The fiscal impact of the shock to financing costs is determined by the volume of new bond issuance.  The shock does not affect the cost to the government of the outstanding stock of debt.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Every loss from an increase in relative financing cost for one Eurozone member is matched by a gain from a decrease in relative financing cost for other members.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At the peak of the Eurozone crisis in 2012, the unexpected increase in relative interest rates cost Spain and Italy more than € 5 billion per annum combined.  Over a 7 year average maturity, the total fiscal impact to Spain and Italy reached more than € 35 billion.  At the same time, Germany, France, the Netherlands, Austria and Finland received an unexpected combined annual gain of € 5 billion from a reduction in their relative financing costs.  After the return of stability and the end of the crisis cycle in 2015, the cumulative fiscal shock for Spain and Italy had fallen to less than € 0.3 billion per annum each.  (See Tables III and IV below).      </w:t>
      </w:r>
    </w:p>
    <w:p w:rsidR="00643280" w:rsidRDefault="00643280" w:rsidP="00643280">
      <w:pPr>
        <w:keepNext/>
        <w:keepLines/>
        <w:tabs>
          <w:tab w:val="left" w:pos="1545"/>
        </w:tabs>
        <w:spacing w:after="0" w:line="240" w:lineRule="auto"/>
        <w:ind w:right="288"/>
        <w:rPr>
          <w:rFonts w:ascii="Times New Roman" w:hAnsi="Times New Roman" w:cs="Times New Roman"/>
        </w:rPr>
      </w:pPr>
    </w:p>
    <w:p w:rsidR="00643280" w:rsidRDefault="00643280" w:rsidP="00643280">
      <w:pPr>
        <w:keepNext/>
        <w:keepLines/>
        <w:tabs>
          <w:tab w:val="left" w:pos="1545"/>
        </w:tabs>
        <w:spacing w:after="0" w:line="240" w:lineRule="auto"/>
        <w:ind w:right="288"/>
        <w:rPr>
          <w:rFonts w:ascii="Times New Roman" w:hAnsi="Times New Roman" w:cs="Times New Roman"/>
        </w:rPr>
      </w:pPr>
    </w:p>
    <w:p w:rsidR="00643280" w:rsidRDefault="00643280" w:rsidP="00643280">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IV.  A Eurozone Financing Cost Stabilization Account </w:t>
      </w:r>
    </w:p>
    <w:p w:rsidR="00643280" w:rsidRDefault="00643280" w:rsidP="00643280">
      <w:pPr>
        <w:keepNext/>
        <w:keepLines/>
        <w:tabs>
          <w:tab w:val="left" w:pos="1545"/>
        </w:tabs>
        <w:spacing w:after="0" w:line="240" w:lineRule="auto"/>
        <w:ind w:right="288"/>
        <w:rPr>
          <w:rFonts w:ascii="Times New Roman" w:hAnsi="Times New Roman" w:cs="Times New Roman"/>
        </w:rPr>
      </w:pPr>
    </w:p>
    <w:p w:rsidR="00643280" w:rsidRDefault="00643280" w:rsidP="00643280">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Eurozone members will agree to reallocate a portion of their collective temporary shocks to moderate unexpected changes in national government financing costs.  Members that receive an unexpected decrease in relative financing costs will contribute 50% of their gain into a Eurozone Financing Cost Stabilization Account (“EFCSA”).  These funds will then be distributed to members that have had an unexpected increase in relative financing costs to cover 50% of their loss.  Annual contributions and receipts will continue for a period matching the average life of new Eurozone bond issuance.   </w:t>
      </w:r>
    </w:p>
    <w:p w:rsidR="00643280" w:rsidRDefault="00643280" w:rsidP="00643280">
      <w:pPr>
        <w:keepNext/>
        <w:keepLines/>
        <w:tabs>
          <w:tab w:val="left" w:pos="1545"/>
        </w:tabs>
        <w:spacing w:after="0" w:line="240" w:lineRule="auto"/>
        <w:ind w:right="288"/>
        <w:rPr>
          <w:rFonts w:ascii="Times New Roman" w:hAnsi="Times New Roman" w:cs="Times New Roman"/>
        </w:rPr>
      </w:pPr>
    </w:p>
    <w:p w:rsidR="00643280" w:rsidRDefault="00643280" w:rsidP="00643280">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Members only pay into the EFCSA when they have received an unexpected gain from a fall in their relative cost of funds.  Each member is only responsible for its own contribution to the EFCSA and bears no liability for the obligations of other members.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inflows into the EFCSA will exactly match the outflows at all times because the sum of the relative gains and the sum of the relative losses of the 19 members are equal at all times.  All individual member gains and losses are determined in relation to the Eurozone Benchmark.  Changes in the level of Eurozone interest rates have no effect on EFCSA flows.  The flows are based upon the differentials to the Eurozone Benchmark, not on the absolute value of the Benchmark.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Basing EFCSA contributions and receipts on shares in total Eurozone new bond issuance volume ensures a fair allocation among members.  (See Table V below for an example of EFCSA cash flows.)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lastRenderedPageBreak/>
        <w:t xml:space="preserve">The EFCSA requires no capital and no active financial management.  It is a simple account where fund inflows exactly match outflows at all times.  Any funds held in the account prior to disbursement will be invested in Treasury bills of the contributing member.  The European Stability Mechanism (ESM) can easily manage the EFCSA account in its Treasury operations.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V.  No </w:t>
      </w:r>
      <w:proofErr w:type="spellStart"/>
      <w:r>
        <w:rPr>
          <w:rFonts w:ascii="Times New Roman" w:hAnsi="Times New Roman" w:cs="Times New Roman"/>
        </w:rPr>
        <w:t>Mutualization</w:t>
      </w:r>
      <w:proofErr w:type="spellEnd"/>
      <w:r>
        <w:rPr>
          <w:rFonts w:ascii="Times New Roman" w:hAnsi="Times New Roman" w:cs="Times New Roman"/>
        </w:rPr>
        <w:t xml:space="preserve"> of Liability; No Transfer of Credit Risk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There is no </w:t>
      </w:r>
      <w:proofErr w:type="spellStart"/>
      <w:r>
        <w:rPr>
          <w:rFonts w:ascii="Times New Roman" w:hAnsi="Times New Roman" w:cs="Times New Roman"/>
        </w:rPr>
        <w:t>mutualization</w:t>
      </w:r>
      <w:proofErr w:type="spellEnd"/>
      <w:r>
        <w:rPr>
          <w:rFonts w:ascii="Times New Roman" w:hAnsi="Times New Roman" w:cs="Times New Roman"/>
        </w:rPr>
        <w:t xml:space="preserve"> of Eurozone member liability under the EFCSA structure.  The EFCSA does not artificially reduce the cost of funds of members in distress and does not transfer credit risk between members in contrast to Eurobonds and the European Central Bank Outright Monetary Transactions (OMT) government bond buying program.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VI.  Market Discipline and Stabilizing Incentives are </w:t>
      </w:r>
      <w:proofErr w:type="gramStart"/>
      <w:r>
        <w:rPr>
          <w:rFonts w:ascii="Times New Roman" w:hAnsi="Times New Roman" w:cs="Times New Roman"/>
        </w:rPr>
        <w:t>Preserved</w:t>
      </w:r>
      <w:proofErr w:type="gramEnd"/>
      <w:r>
        <w:rPr>
          <w:rFonts w:ascii="Times New Roman" w:hAnsi="Times New Roman" w:cs="Times New Roman"/>
        </w:rPr>
        <w:t xml:space="preserv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Market discipline and stabilizing incentives for both governments and investors are preserved under the EFCSA structure.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Investors retain the full risk of the national government bonds they hold and will still take the full losses from their mistakes.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Governments still pay the cost of bad policy and are still be rewarded for sound decisions.  Flows received from the EFCSA are temporary and amount to only 50% of the unexpected increase in financing costs.  Recipients know that funds received must be returned in the near term.  Members pay the price of any policies that lead to structural increases in their cost of funds.  Similarly, the benefits of reductions in financing costs from good policy are received by the reforming government.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VII.  No Treaty Change is </w:t>
      </w:r>
      <w:proofErr w:type="gramStart"/>
      <w:r>
        <w:rPr>
          <w:rFonts w:ascii="Times New Roman" w:hAnsi="Times New Roman" w:cs="Times New Roman"/>
        </w:rPr>
        <w:t>Needed</w:t>
      </w:r>
      <w:proofErr w:type="gramEnd"/>
      <w:r>
        <w:rPr>
          <w:rFonts w:ascii="Times New Roman" w:hAnsi="Times New Roman" w:cs="Times New Roman"/>
        </w:rPr>
        <w:t xml:space="preserve"> and German Constitutional Court Requirements are Fulfilled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EFCSA will not require any change to Eurozone treaties.  The EFCSA can be implemented under existing European Union articles or through simple agreements among the Eurozone governments.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German Constitutional Court requires that the German Parliament have decision-making power over all taxpayer funds.  To meet this standard, there will be fixed limits on both the maximum annual EFCSA contribution and the maximum total cumulative EFCSA contribution net of reflows received.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limits on EFCSA contributions will have no effect on the effectiveness of the EFCSA.  In contrast to other programs, such as the ESM and the ECB SMP/OMT programs, the EFCSA is not a tool to create market confidence with a commitment of resources that can overwhelm any imaginable crisis.  The EFCSA is a tool to moderate the fiscal impact of actual shocks to member cost of funds.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limits on EFCSA contributions should be set at reasonable expectations of possible shocks to financing costs.  If these limits would ever be exceeded, the German Parliament would then decide whether to appropriate supplementary funds.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CD156D">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lastRenderedPageBreak/>
        <w:t>VIII.  Resource Flows are Rules-Based and Only Members with Sustainable Policies Receive Funds</w:t>
      </w:r>
    </w:p>
    <w:p w:rsidR="00643280" w:rsidRDefault="00643280" w:rsidP="00CD156D">
      <w:pPr>
        <w:keepNext/>
        <w:keepLines/>
        <w:tabs>
          <w:tab w:val="left" w:pos="1545"/>
        </w:tabs>
        <w:spacing w:after="0" w:line="240" w:lineRule="auto"/>
        <w:ind w:right="288"/>
        <w:rPr>
          <w:rFonts w:ascii="Times New Roman" w:hAnsi="Times New Roman" w:cs="Times New Roman"/>
        </w:rPr>
      </w:pPr>
    </w:p>
    <w:p w:rsidR="00643280" w:rsidRDefault="00643280" w:rsidP="00CD156D">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EFCSA resource flows are determined entirely by market interest rates and bond issuance volumes in previous years.  Neither member governments nor the European Commission can influence the flow or volume of EFCSA funds.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Members that do not fulfill European Commission fiscal obligations will not be eligible to receive EFCSA payments.  This prevents funds from being used to finance unsustainable policies and permanent transfers from strong to weak members.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Members receiving assistance under official emergency programs will be temporarily excluded from the EFCSA.  Governments in crisis will not participate in the EFCSA because they do not have capital market access and cannot issue bonds.  Members will reenter the EFCSA mechanism once their capital market access is restored.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EFCSA payments will be made annually in arrears.  This ensures that EFCSA funds are distributed only to members that are in compliance with their European Commission obligations. The one year lag in the distribution of funds also ensures that the EFCSA is only used to moderate shocks to financing costs and is not used when structural reform requires large scale official assistance.  Governments entering emergency assistance programs will not receive EFCSA funds for the previous year.  </w:t>
      </w: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IX.  Flows of Funds due to Temporary Shocks Automatically Reverse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Flows of EFCSA funds due to temporary shocks to financing costs will automatically reverse when the shock dissipates.  Members that receive EFCSA funds when their financing cost unexpectedly increases will return the funds automatically when their differential versus the Eurozone Benchmark returns to its normal level.  Members that paid funds into the EFCSA because their relative cost of funds had fallen unexpectedly will see those funds return when their relative cost rises back to its normal level.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Changes in the level of Eurozone interest rates have no effect on EFCSA flows.  The flows are based upon the differentials to the Eurozone Benchmark, not on the absolute value of the Benchmark.</w:t>
      </w:r>
      <w:r>
        <w:rPr>
          <w:rFonts w:ascii="Times New Roman" w:hAnsi="Times New Roman" w:cs="Times New Roman"/>
          <w:vertAlign w:val="superscript"/>
        </w:rPr>
        <w:footnoteReference w:id="1"/>
      </w:r>
      <w:r>
        <w:rPr>
          <w:rFonts w:ascii="Times New Roman" w:hAnsi="Times New Roman" w:cs="Times New Roman"/>
        </w:rPr>
        <w:t xml:space="preserve">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Flows of EFCSA funds immediately cease once differentials in financing costs stabilize.  However, if structural events lead to permanent changes in member relative costs of funds, the initial flow of funds will not reverse.  A permanent rise in the relative cost of funds of one member is counterbalanced by a permanent fall in the relative cost of funds of other members.  During the transition to the new levels, members reallocate 50% of the gains and losses.  Once the new structural levels are reached, EFCSA flows cease and gains and losses accrue entirely to the appropriate individual members.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EFCSA flows from strong to weak members begin as soon as the relative financing cost of the weak members begins to rise.  Similarly, reflows of funds from weak to strong members begin as soon as the relative financing cost of the weak members begins to fall.  If the period of market stress is prolonged, weak members could be obliged to begin to return funds while their cost of financing is </w:t>
      </w:r>
      <w:r>
        <w:rPr>
          <w:rFonts w:ascii="Times New Roman" w:hAnsi="Times New Roman" w:cs="Times New Roman"/>
        </w:rPr>
        <w:lastRenderedPageBreak/>
        <w:t>still temporarily high.  To address this issue, EFCSA reflow payments could be made two years after their calculation date to ensure that market stress and the impact of temporary shocks to financing costs have dissipated and that relative interest rates are at structural levels when reflows begin.</w:t>
      </w:r>
      <w:r>
        <w:rPr>
          <w:rStyle w:val="FootnoteReference"/>
          <w:rFonts w:ascii="Times New Roman" w:hAnsi="Times New Roman" w:cs="Times New Roman"/>
        </w:rPr>
        <w:footnoteReference w:id="2"/>
      </w:r>
      <w:r>
        <w:rPr>
          <w:rFonts w:ascii="Times New Roman" w:hAnsi="Times New Roman" w:cs="Times New Roman"/>
        </w:rPr>
        <w:t xml:space="preserve">      </w:t>
      </w:r>
    </w:p>
    <w:p w:rsidR="00643280" w:rsidRDefault="00643280" w:rsidP="00643280">
      <w:pPr>
        <w:tabs>
          <w:tab w:val="left" w:pos="1545"/>
        </w:tabs>
        <w:spacing w:after="0" w:line="240" w:lineRule="auto"/>
        <w:ind w:right="288"/>
        <w:rPr>
          <w:rFonts w:ascii="Times New Roman" w:hAnsi="Times New Roman" w:cs="Times New Roman"/>
        </w:rPr>
      </w:pPr>
    </w:p>
    <w:p w:rsidR="00860F82" w:rsidRDefault="00860F82" w:rsidP="00643280">
      <w:pPr>
        <w:keepNext/>
        <w:keepLines/>
        <w:tabs>
          <w:tab w:val="left" w:pos="1545"/>
        </w:tabs>
        <w:spacing w:after="0" w:line="240" w:lineRule="auto"/>
        <w:ind w:right="288"/>
        <w:rPr>
          <w:rFonts w:ascii="Times New Roman" w:hAnsi="Times New Roman" w:cs="Times New Roman"/>
        </w:rPr>
      </w:pPr>
    </w:p>
    <w:p w:rsidR="00643280" w:rsidRDefault="00643280" w:rsidP="00643280">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X.  Impact on National Budgets Will be Minimal    </w:t>
      </w:r>
    </w:p>
    <w:p w:rsidR="00643280" w:rsidRDefault="00643280" w:rsidP="00643280">
      <w:pPr>
        <w:keepNext/>
        <w:keepLines/>
        <w:tabs>
          <w:tab w:val="left" w:pos="1545"/>
        </w:tabs>
        <w:spacing w:after="0" w:line="240" w:lineRule="auto"/>
        <w:ind w:right="288"/>
        <w:rPr>
          <w:rFonts w:ascii="Times New Roman" w:hAnsi="Times New Roman" w:cs="Times New Roman"/>
        </w:rPr>
      </w:pPr>
    </w:p>
    <w:p w:rsidR="00643280" w:rsidRDefault="00643280" w:rsidP="00643280">
      <w:pPr>
        <w:keepNext/>
        <w:keepLines/>
        <w:spacing w:after="0" w:line="240" w:lineRule="auto"/>
        <w:rPr>
          <w:rFonts w:ascii="Times New Roman" w:hAnsi="Times New Roman" w:cs="Times New Roman"/>
        </w:rPr>
      </w:pPr>
      <w:r>
        <w:rPr>
          <w:rFonts w:ascii="Times New Roman" w:hAnsi="Times New Roman" w:cs="Times New Roman"/>
        </w:rPr>
        <w:t xml:space="preserve">The impact of the EFCSA on national budgets will be minimal.  EFCSA flows should not count fully as fiscal expenditures or revenues because every EFCSA flow creates an expected offsetting reflow.  Only the estimated difference between flows and reflows should enter national and European Commission budget deficit calculations.  The estimated differences between flows and reflows should include a provision for the risk of expected reflows.  EFCSA payments will be made in arrears with a one year lag to allow precise budget accounting.  (Section XI below details a simulation of EFCSA flows over the 2010-2016 period.) </w:t>
      </w:r>
    </w:p>
    <w:p w:rsidR="00643280" w:rsidRDefault="00643280" w:rsidP="00643280">
      <w:pPr>
        <w:spacing w:after="0" w:line="240" w:lineRule="auto"/>
        <w:rPr>
          <w:rFonts w:ascii="Times New Roman" w:hAnsi="Times New Roman" w:cs="Times New Roman"/>
        </w:rPr>
      </w:pPr>
    </w:p>
    <w:p w:rsidR="00643280" w:rsidRDefault="00643280" w:rsidP="00643280">
      <w:pPr>
        <w:spacing w:after="0" w:line="240" w:lineRule="auto"/>
        <w:rPr>
          <w:rFonts w:ascii="Times New Roman" w:hAnsi="Times New Roman" w:cs="Times New Roman"/>
        </w:rPr>
      </w:pPr>
    </w:p>
    <w:p w:rsidR="00643280" w:rsidRDefault="00643280" w:rsidP="00643280">
      <w:pPr>
        <w:pStyle w:val="FootnoteText"/>
        <w:rPr>
          <w:rFonts w:ascii="Times New Roman" w:hAnsi="Times New Roman" w:cs="Times New Roman"/>
          <w:sz w:val="22"/>
          <w:szCs w:val="22"/>
        </w:rPr>
      </w:pPr>
      <w:r>
        <w:rPr>
          <w:rFonts w:ascii="Times New Roman" w:hAnsi="Times New Roman" w:cs="Times New Roman"/>
          <w:sz w:val="22"/>
          <w:szCs w:val="22"/>
        </w:rPr>
        <w:t xml:space="preserve">XI.  Simulation of the EFCSA over 2010-2015 Crisis Cycle   </w:t>
      </w:r>
    </w:p>
    <w:p w:rsidR="00643280" w:rsidRDefault="00643280" w:rsidP="00643280">
      <w:pPr>
        <w:pStyle w:val="FootnoteText"/>
        <w:rPr>
          <w:rFonts w:ascii="Times New Roman" w:hAnsi="Times New Roman" w:cs="Times New Roman"/>
          <w:sz w:val="22"/>
          <w:szCs w:val="22"/>
        </w:rPr>
      </w:pPr>
    </w:p>
    <w:p w:rsidR="00643280" w:rsidRDefault="00643280" w:rsidP="00643280">
      <w:pPr>
        <w:pStyle w:val="FootnoteText"/>
        <w:rPr>
          <w:rFonts w:ascii="Times New Roman" w:hAnsi="Times New Roman" w:cs="Times New Roman"/>
          <w:sz w:val="22"/>
          <w:szCs w:val="22"/>
        </w:rPr>
      </w:pPr>
      <w:r>
        <w:rPr>
          <w:rFonts w:ascii="Times New Roman" w:hAnsi="Times New Roman" w:cs="Times New Roman"/>
          <w:sz w:val="22"/>
          <w:szCs w:val="22"/>
        </w:rPr>
        <w:t xml:space="preserve">A simulation of the operations of the EFCSA over the 2010-2015 crisis cycle showed that the structure would have functioned as planned.    </w:t>
      </w:r>
    </w:p>
    <w:p w:rsidR="00643280" w:rsidRDefault="00643280" w:rsidP="00643280">
      <w:pPr>
        <w:pStyle w:val="FootnoteText"/>
        <w:rPr>
          <w:rFonts w:ascii="Times New Roman" w:hAnsi="Times New Roman" w:cs="Times New Roman"/>
          <w:sz w:val="22"/>
          <w:szCs w:val="22"/>
        </w:rPr>
      </w:pPr>
      <w:r>
        <w:rPr>
          <w:rFonts w:ascii="Times New Roman" w:hAnsi="Times New Roman" w:cs="Times New Roman"/>
          <w:sz w:val="22"/>
          <w:szCs w:val="22"/>
        </w:rPr>
        <w:br/>
        <w:t xml:space="preserve">As shocks hit the financing costs of members during 2010-2012, Germany, France, the Netherlands, Finland and Austria saw their relative cost of funds fall and would have contributed funds to the EFCSA.  Italy and Spain saw their relative cost of funds rise and would have received funds from the EFCSA.  As stability returned in 2013-2015, Italy and Spain would have returned funds previously received and Germany, France, the Netherlands, Finland and Austria would have become recipients.   </w:t>
      </w:r>
    </w:p>
    <w:p w:rsidR="00643280" w:rsidRDefault="00643280" w:rsidP="00643280">
      <w:pPr>
        <w:pStyle w:val="FootnoteText"/>
        <w:rPr>
          <w:rFonts w:ascii="Times New Roman" w:hAnsi="Times New Roman" w:cs="Times New Roman"/>
          <w:sz w:val="22"/>
          <w:szCs w:val="22"/>
        </w:rPr>
      </w:pPr>
      <w:r>
        <w:rPr>
          <w:rFonts w:ascii="Times New Roman" w:hAnsi="Times New Roman" w:cs="Times New Roman"/>
          <w:sz w:val="22"/>
          <w:szCs w:val="22"/>
        </w:rPr>
        <w:br/>
        <w:t xml:space="preserve">At the peak of the crisis in 2012, more than € 2.5 billion per annum would have been reallocated among Eurozone members to offset 50% of shocks to financing costs.  Germany would have contributed € 1.2 billion per annum, France € 0.7 billion per annum and the Netherlands € 0.4 billion per annum while Italy and Spain would have each received € 1.3 billion per annum.  By the end of 2015, 90% of the flows would have reversed direction and returned to the original contributors.      </w:t>
      </w:r>
    </w:p>
    <w:p w:rsidR="00643280" w:rsidRDefault="00643280" w:rsidP="00643280">
      <w:pPr>
        <w:pStyle w:val="FootnoteText"/>
        <w:rPr>
          <w:rFonts w:ascii="Times New Roman" w:hAnsi="Times New Roman" w:cs="Times New Roman"/>
          <w:sz w:val="22"/>
          <w:szCs w:val="22"/>
        </w:rPr>
      </w:pPr>
      <w:r>
        <w:rPr>
          <w:rFonts w:ascii="Times New Roman" w:hAnsi="Times New Roman" w:cs="Times New Roman"/>
          <w:sz w:val="22"/>
          <w:szCs w:val="22"/>
        </w:rPr>
        <w:br/>
        <w:t xml:space="preserve">The EFCSA net contribution of the strong Eurozone members would have been moderate.  Germany's cumulative net contribution would have been € 78 million per annum over the 2010-15 crisis cycle.  The EFCSA per annum cumulative net contributions of other members would have been:  € 92 million by the Netherlands, € 25 million by Finland and € 24 million by Austria.  France would have been a cumulative net recipient of € 33 million per annum.  </w:t>
      </w:r>
    </w:p>
    <w:p w:rsidR="00643280" w:rsidRDefault="00643280" w:rsidP="00643280">
      <w:pPr>
        <w:pStyle w:val="FootnoteText"/>
        <w:rPr>
          <w:rFonts w:ascii="Times New Roman" w:hAnsi="Times New Roman" w:cs="Times New Roman"/>
          <w:sz w:val="22"/>
          <w:szCs w:val="22"/>
        </w:rPr>
      </w:pPr>
    </w:p>
    <w:p w:rsidR="00643280" w:rsidRDefault="00643280" w:rsidP="00643280">
      <w:pPr>
        <w:pStyle w:val="FootnoteText"/>
        <w:rPr>
          <w:rFonts w:ascii="Times New Roman" w:hAnsi="Times New Roman" w:cs="Times New Roman"/>
          <w:sz w:val="22"/>
          <w:szCs w:val="22"/>
        </w:rPr>
      </w:pPr>
      <w:r>
        <w:rPr>
          <w:rFonts w:ascii="Times New Roman" w:hAnsi="Times New Roman" w:cs="Times New Roman"/>
          <w:sz w:val="22"/>
          <w:szCs w:val="22"/>
        </w:rPr>
        <w:t xml:space="preserve">In 2016, political instability and concerns over bank solvency in Italy caused Italian government relative financing costs to rise and a fiscal loss of € 206 million per annum.  Germany, France and the Netherlands received gains from reduced relative financing costs.  The EFCSA would have functioned as planned.  Italy would have received € 103 million per annum from contributions from members with gains to off-set 50% of its fiscal shock.     </w:t>
      </w:r>
    </w:p>
    <w:p w:rsidR="00643280" w:rsidRDefault="00643280" w:rsidP="00643280">
      <w:pPr>
        <w:pStyle w:val="FootnoteText"/>
        <w:rPr>
          <w:rFonts w:ascii="Times New Roman" w:hAnsi="Times New Roman" w:cs="Times New Roman"/>
          <w:sz w:val="22"/>
          <w:szCs w:val="22"/>
        </w:rPr>
      </w:pPr>
    </w:p>
    <w:p w:rsidR="00643280" w:rsidRDefault="00643280" w:rsidP="00643280">
      <w:pPr>
        <w:pStyle w:val="FootnoteText"/>
        <w:rPr>
          <w:rFonts w:ascii="Times New Roman" w:hAnsi="Times New Roman" w:cs="Times New Roman"/>
        </w:rPr>
      </w:pPr>
      <w:r>
        <w:rPr>
          <w:rFonts w:ascii="Times New Roman" w:hAnsi="Times New Roman" w:cs="Times New Roman"/>
          <w:sz w:val="22"/>
          <w:szCs w:val="22"/>
        </w:rPr>
        <w:t xml:space="preserve">(See Tables VI and VII below for detailed results of the simulation of the operations of the EFCSA.)   </w:t>
      </w:r>
      <w:r>
        <w:rPr>
          <w:rFonts w:ascii="Times New Roman" w:hAnsi="Times New Roman" w:cs="Times New Roman"/>
          <w:sz w:val="22"/>
          <w:szCs w:val="22"/>
        </w:rPr>
        <w:br/>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XII.  Fiscal Compact Ensures Return of EFCSA Flows </w:t>
      </w:r>
    </w:p>
    <w:p w:rsidR="00643280" w:rsidRDefault="00643280" w:rsidP="00643280">
      <w:pPr>
        <w:keepNext/>
        <w:keepLines/>
        <w:tabs>
          <w:tab w:val="left" w:pos="1545"/>
        </w:tabs>
        <w:spacing w:after="0" w:line="240" w:lineRule="auto"/>
        <w:ind w:right="288"/>
        <w:rPr>
          <w:rFonts w:ascii="Times New Roman" w:hAnsi="Times New Roman" w:cs="Times New Roman"/>
        </w:rPr>
      </w:pPr>
    </w:p>
    <w:p w:rsidR="00643280" w:rsidRDefault="00643280" w:rsidP="00643280">
      <w:pPr>
        <w:keepNext/>
        <w:keepLines/>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Fiscal Compact will force members that suffer an unexpected increase in relative borrowing costs to implement reforms that will return relative borrowing costs to normal levels.  This will reverse previous flows automatically and eliminate the impact of the EFCSA on the budgets of all members.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If a member’s relative cost of financing continues to rise, it has not implemented reforms required by the European Commission.  No EFCSA funds will be distributed to the member.  EFCSA funds will be paid with a one year lag to ensure that no funds are paid out to a member that is not in compliance with Commission decisions.  Funds contributed to the EFCSA by other members will then be returned.      </w:t>
      </w: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 </w:t>
      </w:r>
    </w:p>
    <w:p w:rsidR="00643280" w:rsidRDefault="00643280" w:rsidP="00643280">
      <w:pPr>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 </w:t>
      </w:r>
    </w:p>
    <w:p w:rsidR="00643280" w:rsidRDefault="00643280" w:rsidP="00643280">
      <w:pPr>
        <w:keepNext/>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XIII.  Removing the European Central Bank from the Fiscal Policy Sphere </w:t>
      </w:r>
    </w:p>
    <w:p w:rsidR="00643280" w:rsidRDefault="00643280" w:rsidP="00643280">
      <w:pPr>
        <w:keepNext/>
        <w:tabs>
          <w:tab w:val="left" w:pos="1545"/>
        </w:tabs>
        <w:spacing w:after="0" w:line="240" w:lineRule="auto"/>
        <w:ind w:right="288"/>
        <w:rPr>
          <w:rFonts w:ascii="Times New Roman" w:hAnsi="Times New Roman" w:cs="Times New Roman"/>
        </w:rPr>
      </w:pPr>
    </w:p>
    <w:p w:rsidR="00643280" w:rsidRDefault="00643280" w:rsidP="00643280">
      <w:pPr>
        <w:keepNext/>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The EFCSA moderates the fiscal impact of unexpected increases in member financing costs.  It is a purely fiscal tool with no impact on monetary policy.  The European Central Bank will no longer need to play the role of stabilizing government borrowing costs in the face of shocks.  The Bank’s OMT government bond buying program can be eliminated.  The ECB can return to its mandate and focus solely on monetary policy.  The European Commission and the Eurozone governments will be responsible for the fiscal impact of unexpected changes in member financing costs.    </w:t>
      </w:r>
    </w:p>
    <w:p w:rsidR="00643280" w:rsidRDefault="00643280" w:rsidP="00643280">
      <w:pPr>
        <w:keepNext/>
        <w:tabs>
          <w:tab w:val="left" w:pos="1545"/>
        </w:tabs>
        <w:spacing w:after="0" w:line="240" w:lineRule="auto"/>
        <w:ind w:right="288"/>
        <w:rPr>
          <w:rFonts w:ascii="Times New Roman" w:hAnsi="Times New Roman" w:cs="Times New Roman"/>
        </w:rPr>
      </w:pPr>
    </w:p>
    <w:p w:rsidR="00643280" w:rsidRDefault="00643280" w:rsidP="00643280">
      <w:pPr>
        <w:keepNext/>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Any disruptive impact on the government finances of weak Eurozone members from the withdrawal of the ECB’s Quantitative Easing Program will be greatly reduced by the EFCSA.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keepNext/>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XIV.  Eurozone Central Control over National Budgets is </w:t>
      </w:r>
      <w:proofErr w:type="gramStart"/>
      <w:r>
        <w:rPr>
          <w:rFonts w:ascii="Times New Roman" w:hAnsi="Times New Roman" w:cs="Times New Roman"/>
        </w:rPr>
        <w:t>Increased</w:t>
      </w:r>
      <w:proofErr w:type="gramEnd"/>
      <w:r>
        <w:rPr>
          <w:rFonts w:ascii="Times New Roman" w:hAnsi="Times New Roman" w:cs="Times New Roman"/>
        </w:rPr>
        <w:t xml:space="preserve"> </w:t>
      </w:r>
    </w:p>
    <w:p w:rsidR="00643280" w:rsidRDefault="00643280" w:rsidP="00643280">
      <w:pPr>
        <w:keepNext/>
        <w:tabs>
          <w:tab w:val="left" w:pos="1545"/>
        </w:tabs>
        <w:spacing w:after="0" w:line="240" w:lineRule="auto"/>
        <w:ind w:right="288"/>
        <w:rPr>
          <w:rFonts w:ascii="Times New Roman" w:hAnsi="Times New Roman" w:cs="Times New Roman"/>
        </w:rPr>
      </w:pPr>
    </w:p>
    <w:p w:rsidR="00643280" w:rsidRDefault="00643280" w:rsidP="00643280">
      <w:pPr>
        <w:keepNext/>
        <w:tabs>
          <w:tab w:val="left" w:pos="1545"/>
        </w:tabs>
        <w:spacing w:after="0" w:line="240" w:lineRule="auto"/>
        <w:ind w:right="288"/>
        <w:rPr>
          <w:rFonts w:ascii="Times New Roman" w:hAnsi="Times New Roman" w:cs="Times New Roman"/>
        </w:rPr>
      </w:pPr>
      <w:r>
        <w:rPr>
          <w:rFonts w:ascii="Times New Roman" w:hAnsi="Times New Roman" w:cs="Times New Roman"/>
        </w:rPr>
        <w:t xml:space="preserve">Eurozone central control over national budgets is increased under the EFCSA.  Only governments in compliance with European Commission budget obligations will be eligible to receive EFCSA funds.  EFCSA funds will be paid with a one year lag to ensure that no funds are paid out to a member that is not in compliance with Commission decisions.  The Commission will not approve the budget of any member that has not paid its past obligations to the EFCSA.     </w:t>
      </w: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rPr>
          <w:rFonts w:ascii="Times New Roman" w:hAnsi="Times New Roman" w:cs="Times New Roman"/>
        </w:rPr>
      </w:pPr>
    </w:p>
    <w:p w:rsidR="00643280" w:rsidRDefault="00643280" w:rsidP="00643280">
      <w:pPr>
        <w:tabs>
          <w:tab w:val="left" w:pos="1545"/>
        </w:tabs>
        <w:spacing w:after="0" w:line="240" w:lineRule="auto"/>
        <w:ind w:right="288"/>
        <w:jc w:val="center"/>
      </w:pPr>
    </w:p>
    <w:p w:rsidR="00643280" w:rsidRDefault="00643280" w:rsidP="00643280">
      <w:pPr>
        <w:spacing w:after="0" w:line="240" w:lineRule="auto"/>
      </w:pPr>
      <w:r>
        <w:br w:type="page"/>
      </w:r>
    </w:p>
    <w:p w:rsidR="00643280" w:rsidRDefault="00643280" w:rsidP="00643280">
      <w:pPr>
        <w:tabs>
          <w:tab w:val="left" w:pos="1545"/>
        </w:tabs>
        <w:spacing w:after="0" w:line="240" w:lineRule="auto"/>
        <w:ind w:right="288"/>
        <w:jc w:val="center"/>
      </w:pPr>
      <w:r>
        <w:lastRenderedPageBreak/>
        <w:t>Table I</w:t>
      </w:r>
    </w:p>
    <w:p w:rsidR="00643280" w:rsidRDefault="00643280" w:rsidP="00643280">
      <w:pPr>
        <w:tabs>
          <w:tab w:val="left" w:pos="1545"/>
        </w:tabs>
        <w:spacing w:after="0" w:line="240" w:lineRule="auto"/>
        <w:ind w:right="288"/>
        <w:jc w:val="center"/>
      </w:pPr>
    </w:p>
    <w:p w:rsidR="00643280" w:rsidRDefault="00643280" w:rsidP="00643280">
      <w:pPr>
        <w:jc w:val="center"/>
      </w:pPr>
      <w:r>
        <w:t>Eurozone Financing Cost Stabilization Account</w:t>
      </w:r>
    </w:p>
    <w:p w:rsidR="00643280" w:rsidRDefault="00643280" w:rsidP="00643280">
      <w:pPr>
        <w:jc w:val="center"/>
      </w:pPr>
      <w:r>
        <w:t>Member Differential versus Eurozone Benchmark</w:t>
      </w:r>
    </w:p>
    <w:p w:rsidR="00643280" w:rsidRDefault="00643280" w:rsidP="00643280">
      <w:pPr>
        <w:jc w:val="center"/>
      </w:pPr>
      <w:r>
        <w:t>(% per annum)</w:t>
      </w:r>
    </w:p>
    <w:p w:rsidR="00643280" w:rsidRDefault="00643280" w:rsidP="00643280">
      <w:pPr>
        <w:jc w:val="center"/>
      </w:pPr>
    </w:p>
    <w:tbl>
      <w:tblPr>
        <w:tblStyle w:val="TableGrid"/>
        <w:tblpPr w:leftFromText="180" w:rightFromText="180" w:vertAnchor="page" w:horzAnchor="margin" w:tblpY="3871"/>
        <w:tblW w:w="0" w:type="dxa"/>
        <w:tblInd w:w="0" w:type="dxa"/>
        <w:tblLayout w:type="fixed"/>
        <w:tblLook w:val="04A0" w:firstRow="1" w:lastRow="0" w:firstColumn="1" w:lastColumn="0" w:noHBand="0" w:noVBand="1"/>
      </w:tblPr>
      <w:tblGrid>
        <w:gridCol w:w="2605"/>
        <w:gridCol w:w="900"/>
        <w:gridCol w:w="900"/>
        <w:gridCol w:w="900"/>
        <w:gridCol w:w="900"/>
        <w:gridCol w:w="900"/>
        <w:gridCol w:w="900"/>
        <w:gridCol w:w="900"/>
        <w:gridCol w:w="900"/>
      </w:tblGrid>
      <w:tr w:rsidR="00643280" w:rsidTr="00643280">
        <w:tc>
          <w:tcPr>
            <w:tcW w:w="260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2009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2016</w:t>
            </w:r>
          </w:p>
        </w:tc>
      </w:tr>
      <w:tr w:rsidR="00643280" w:rsidTr="00643280">
        <w:tc>
          <w:tcPr>
            <w:tcW w:w="260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r>
      <w:tr w:rsidR="00643280" w:rsidTr="00643280">
        <w:tc>
          <w:tcPr>
            <w:tcW w:w="260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r>
              <w:rPr>
                <w:sz w:val="20"/>
                <w:szCs w:val="20"/>
              </w:rPr>
              <w:t>Eurozone Average 10 Year Cost of Funds Weighted by Gross Issuance of Long Term Fixed Rate Bonds (1) (2)</w:t>
            </w:r>
          </w:p>
          <w:p w:rsidR="00643280" w:rsidRDefault="00643280">
            <w:pPr>
              <w:spacing w:line="240" w:lineRule="auto"/>
              <w:rPr>
                <w:sz w:val="20"/>
                <w:szCs w:val="20"/>
              </w:rPr>
            </w:pPr>
          </w:p>
          <w:p w:rsidR="00643280" w:rsidRDefault="00643280">
            <w:pPr>
              <w:spacing w:line="240" w:lineRule="auto"/>
              <w:rPr>
                <w:sz w:val="20"/>
                <w:szCs w:val="20"/>
              </w:rPr>
            </w:pPr>
            <w:r>
              <w:rPr>
                <w:sz w:val="20"/>
                <w:szCs w:val="20"/>
              </w:rPr>
              <w:t xml:space="preserve">Eurozone Benchmark </w:t>
            </w:r>
          </w:p>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3.88%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3.36%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3.89%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3.29%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2.90%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1.13%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0.78%</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Austria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(-0.92)%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(-0.41)%</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Belgium</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(-0.31)</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Cyprus</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Finland</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(-0.42)</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 xml:space="preserve">France </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(-0.32)</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Germany</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(-1.80)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(-0.69)</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Greece</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Ireland</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Italy</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+1.54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+2.20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+0.70</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Luxembourg</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(-0.96)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(-0.53)</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Malta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+0.10</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Netherlands</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(-0.90)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(-0.93)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(-0.49)</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Portugal</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Slovakia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(-0.24)</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Slovenia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+2.92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+-0.37</w:t>
            </w:r>
          </w:p>
        </w:tc>
      </w:tr>
      <w:tr w:rsidR="00643280" w:rsidTr="00643280">
        <w:tc>
          <w:tcPr>
            <w:tcW w:w="260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Spain</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+1.55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+1.67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+0.61</w:t>
            </w:r>
          </w:p>
        </w:tc>
      </w:tr>
      <w:tr w:rsidR="00643280" w:rsidTr="00643280">
        <w:tc>
          <w:tcPr>
            <w:tcW w:w="260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r>
    </w:tbl>
    <w:p w:rsidR="00643280" w:rsidRDefault="00643280" w:rsidP="00643280">
      <w:pPr>
        <w:spacing w:after="0" w:line="240" w:lineRule="auto"/>
      </w:pPr>
    </w:p>
    <w:p w:rsidR="00643280" w:rsidRDefault="00643280" w:rsidP="00643280">
      <w:pPr>
        <w:spacing w:after="0" w:line="240" w:lineRule="auto"/>
      </w:pPr>
      <w:r>
        <w:t>(1)  Source:  European Central Bank</w:t>
      </w:r>
    </w:p>
    <w:p w:rsidR="00643280" w:rsidRDefault="00643280" w:rsidP="00643280">
      <w:pPr>
        <w:spacing w:after="0" w:line="240" w:lineRule="auto"/>
      </w:pPr>
    </w:p>
    <w:p w:rsidR="00643280" w:rsidRDefault="00643280" w:rsidP="00643280">
      <w:pPr>
        <w:spacing w:after="0" w:line="240" w:lineRule="auto"/>
      </w:pPr>
      <w:r>
        <w:t xml:space="preserve">(2)  Excluding governments under emergency financing programs: Greece 2010-2014; Ireland 2011-2013; Portugal 2011-2014; Cyprus 2012-2014.  </w:t>
      </w:r>
    </w:p>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jc w:val="center"/>
      </w:pPr>
      <w:r>
        <w:lastRenderedPageBreak/>
        <w:t>Table II</w:t>
      </w:r>
    </w:p>
    <w:p w:rsidR="00643280" w:rsidRDefault="00643280" w:rsidP="00643280">
      <w:pPr>
        <w:jc w:val="center"/>
      </w:pPr>
      <w:r>
        <w:t xml:space="preserve">Eurozone Financing Cost Stabilization Account  </w:t>
      </w:r>
    </w:p>
    <w:p w:rsidR="00643280" w:rsidRDefault="00643280" w:rsidP="00643280">
      <w:pPr>
        <w:jc w:val="center"/>
      </w:pPr>
      <w:r>
        <w:t xml:space="preserve">Shock to Member Financing Cost (1) </w:t>
      </w:r>
    </w:p>
    <w:p w:rsidR="00643280" w:rsidRDefault="00643280" w:rsidP="00643280">
      <w:pPr>
        <w:jc w:val="center"/>
      </w:pPr>
      <w:r>
        <w:t xml:space="preserve">(% </w:t>
      </w:r>
      <w:proofErr w:type="gramStart"/>
      <w:r>
        <w:t>per</w:t>
      </w:r>
      <w:proofErr w:type="gramEnd"/>
      <w:r>
        <w:t xml:space="preserve"> annum)</w:t>
      </w:r>
    </w:p>
    <w:p w:rsidR="00643280" w:rsidRDefault="00643280" w:rsidP="00643280">
      <w:pPr>
        <w:jc w:val="center"/>
      </w:pPr>
    </w:p>
    <w:tbl>
      <w:tblPr>
        <w:tblStyle w:val="TableGrid"/>
        <w:tblpPr w:leftFromText="180" w:rightFromText="180" w:vertAnchor="page" w:horzAnchor="margin" w:tblpXSpec="center" w:tblpY="3601"/>
        <w:tblW w:w="0" w:type="dxa"/>
        <w:tblInd w:w="0" w:type="dxa"/>
        <w:tblLayout w:type="fixed"/>
        <w:tblLook w:val="04A0" w:firstRow="1" w:lastRow="0" w:firstColumn="1" w:lastColumn="0" w:noHBand="0" w:noVBand="1"/>
      </w:tblPr>
      <w:tblGrid>
        <w:gridCol w:w="1255"/>
        <w:gridCol w:w="900"/>
        <w:gridCol w:w="900"/>
        <w:gridCol w:w="900"/>
        <w:gridCol w:w="900"/>
        <w:gridCol w:w="900"/>
        <w:gridCol w:w="900"/>
        <w:gridCol w:w="900"/>
        <w:gridCol w:w="1710"/>
      </w:tblGrid>
      <w:tr w:rsidR="00643280" w:rsidTr="00643280">
        <w:tc>
          <w:tcPr>
            <w:tcW w:w="125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2016</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Cumulative Change</w:t>
            </w:r>
          </w:p>
        </w:tc>
      </w:tr>
      <w:tr w:rsidR="00643280" w:rsidTr="00643280">
        <w:tc>
          <w:tcPr>
            <w:tcW w:w="125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Austria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(-0.03)%</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(-0.35)%</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Belgium</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(-0.02)</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(-0.21)</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Cyprus</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Finland</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(-0.01)</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(-0.16)</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 xml:space="preserve">France </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(-0.04)</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+0.03</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Germany</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(-0.07)</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+0.08</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Greece</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Ireland</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Italy</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+0.11</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+0.39</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Luxembourg</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+0.23</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(-0.76)</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Malta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(-0.26)</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(-0.44)</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Netherlands</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(-0.31)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(-0.06)</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(-0.18)</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Portugal</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Slovakia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(-0.44)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(-0.80)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0.00</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(-0.95)</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Slovenia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(-0.15)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+0.63</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+0.57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(-1.60)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(-0.22)</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(-0.01)</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Spain</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+0.99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(-0.72)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(-0.90)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0.00</w:t>
            </w:r>
          </w:p>
        </w:tc>
        <w:tc>
          <w:tcPr>
            <w:tcW w:w="171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+0.63</w:t>
            </w:r>
          </w:p>
        </w:tc>
      </w:tr>
      <w:tr w:rsidR="00643280" w:rsidTr="00643280">
        <w:tc>
          <w:tcPr>
            <w:tcW w:w="125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r>
    </w:tbl>
    <w:p w:rsidR="00643280" w:rsidRDefault="00643280" w:rsidP="00643280">
      <w:pPr>
        <w:spacing w:after="0" w:line="240" w:lineRule="auto"/>
        <w:ind w:right="144"/>
      </w:pPr>
      <w:r>
        <w:t xml:space="preserve">(1)  Current year differential to Eurozone Benchmark minus previous year differential to Adjusted Eurozone Benchmark.  The Adjusted Eurozone Benchmark is determined each year by rebasing the share of each government’s bond issuance in total Eurozone issuance in the previous year to equal its share in the current year.  This chaining eliminates changes in relative financing costs due to changes in shares of issuance volume.  The chaining determines how much more/less it costs a government to borrow this year compared to borrowing the same amount last year on a relative basis.   </w:t>
      </w:r>
    </w:p>
    <w:p w:rsidR="00643280" w:rsidRDefault="00643280" w:rsidP="00643280">
      <w:pPr>
        <w:spacing w:after="0" w:line="240" w:lineRule="auto"/>
      </w:pPr>
    </w:p>
    <w:p w:rsidR="00643280" w:rsidRDefault="00643280" w:rsidP="00643280">
      <w:r>
        <w:t xml:space="preserve">    </w:t>
      </w:r>
    </w:p>
    <w:p w:rsidR="00643280" w:rsidRDefault="00643280" w:rsidP="00643280"/>
    <w:p w:rsidR="00643280" w:rsidRDefault="00643280" w:rsidP="00643280"/>
    <w:p w:rsidR="00643280" w:rsidRDefault="00643280" w:rsidP="00643280"/>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jc w:val="center"/>
      </w:pPr>
      <w:r>
        <w:lastRenderedPageBreak/>
        <w:t>Table III</w:t>
      </w:r>
    </w:p>
    <w:p w:rsidR="00643280" w:rsidRDefault="00643280" w:rsidP="00643280">
      <w:pPr>
        <w:jc w:val="center"/>
      </w:pPr>
      <w:r>
        <w:t xml:space="preserve">Eurozone Financing Cost Stabilization Account  </w:t>
      </w:r>
    </w:p>
    <w:p w:rsidR="00643280" w:rsidRDefault="00643280" w:rsidP="00643280">
      <w:pPr>
        <w:jc w:val="center"/>
      </w:pPr>
      <w:r>
        <w:t>New Annual Fiscal Shock:  New Increase in Annual Financing Cost</w:t>
      </w:r>
    </w:p>
    <w:p w:rsidR="00643280" w:rsidRDefault="00643280" w:rsidP="00643280">
      <w:pPr>
        <w:jc w:val="center"/>
      </w:pPr>
      <w:r>
        <w:t xml:space="preserve">(€ </w:t>
      </w:r>
      <w:proofErr w:type="gramStart"/>
      <w:r>
        <w:t>millions</w:t>
      </w:r>
      <w:proofErr w:type="gramEnd"/>
      <w:r>
        <w:t xml:space="preserve">) </w:t>
      </w:r>
    </w:p>
    <w:tbl>
      <w:tblPr>
        <w:tblStyle w:val="TableGrid"/>
        <w:tblpPr w:leftFromText="180" w:rightFromText="180" w:vertAnchor="page" w:horzAnchor="margin" w:tblpXSpec="center" w:tblpY="3646"/>
        <w:tblW w:w="0" w:type="dxa"/>
        <w:tblInd w:w="0" w:type="dxa"/>
        <w:tblLayout w:type="fixed"/>
        <w:tblLook w:val="04A0" w:firstRow="1" w:lastRow="0" w:firstColumn="1" w:lastColumn="0" w:noHBand="0" w:noVBand="1"/>
      </w:tblPr>
      <w:tblGrid>
        <w:gridCol w:w="1525"/>
        <w:gridCol w:w="1080"/>
        <w:gridCol w:w="991"/>
        <w:gridCol w:w="991"/>
        <w:gridCol w:w="991"/>
        <w:gridCol w:w="1081"/>
        <w:gridCol w:w="991"/>
        <w:gridCol w:w="991"/>
      </w:tblGrid>
      <w:tr w:rsidR="00643280" w:rsidTr="00643280">
        <w:tc>
          <w:tcPr>
            <w:tcW w:w="152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2013</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2016</w:t>
            </w:r>
          </w:p>
        </w:tc>
      </w:tr>
      <w:tr w:rsidR="00643280" w:rsidTr="00643280">
        <w:tc>
          <w:tcPr>
            <w:tcW w:w="152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108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Austria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+50</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Belgium</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+118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(-290)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(-12)</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Cyprus</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Finland</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+74</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 xml:space="preserve">France </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(-297)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(-630)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(-414)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+442</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+822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+143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Germany</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(-191)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(-1,254)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(-1,043)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+1,120</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+864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+349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(-99)</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Greece</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Ireland</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Italy</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+210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+1,374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+976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(-948)</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(-863)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(-472)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+206</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Luxembourg</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+18</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Malta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Netherlands</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(-161)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(-271)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(-314)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+274</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+224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(-16)</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Portugal</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Slovakia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(-55)</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Slovenia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+34</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Spain</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+615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+795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+1,172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(-995)</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(-1,178)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(-113)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r>
      <w:tr w:rsidR="00643280" w:rsidTr="00643280">
        <w:tc>
          <w:tcPr>
            <w:tcW w:w="152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108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 xml:space="preserve">Total of New Annual Fiscal Shocks </w:t>
            </w: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p w:rsidR="00643280" w:rsidRDefault="00643280">
            <w:pPr>
              <w:spacing w:line="240" w:lineRule="auto"/>
              <w:jc w:val="center"/>
            </w:pPr>
            <w:r>
              <w:t>0</w:t>
            </w:r>
          </w:p>
        </w:tc>
        <w:tc>
          <w:tcPr>
            <w:tcW w:w="108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p w:rsidR="00643280" w:rsidRDefault="00643280">
            <w:pPr>
              <w:spacing w:line="240" w:lineRule="auto"/>
              <w:jc w:val="center"/>
            </w:pPr>
            <w:r>
              <w:t>0</w:t>
            </w:r>
          </w:p>
        </w:tc>
      </w:tr>
    </w:tbl>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Pr>
        <w:jc w:val="center"/>
      </w:pPr>
      <w:r>
        <w:lastRenderedPageBreak/>
        <w:t>Table IV</w:t>
      </w:r>
    </w:p>
    <w:p w:rsidR="00643280" w:rsidRDefault="00643280" w:rsidP="00643280">
      <w:pPr>
        <w:jc w:val="center"/>
      </w:pPr>
      <w:r>
        <w:t>Eurozone Financing Cost Stabilization Account</w:t>
      </w:r>
    </w:p>
    <w:p w:rsidR="00643280" w:rsidRDefault="00643280" w:rsidP="00643280">
      <w:pPr>
        <w:jc w:val="center"/>
      </w:pPr>
      <w:r>
        <w:t>Cumulative Fiscal Shock:  Cumulative Increase in Annual Financing Cost</w:t>
      </w:r>
    </w:p>
    <w:p w:rsidR="00643280" w:rsidRDefault="00643280" w:rsidP="00643280">
      <w:pPr>
        <w:jc w:val="center"/>
      </w:pPr>
      <w:r>
        <w:t>(€ millions)</w:t>
      </w:r>
    </w:p>
    <w:p w:rsidR="00643280" w:rsidRDefault="00643280" w:rsidP="00643280">
      <w:pPr>
        <w:jc w:val="center"/>
      </w:pPr>
    </w:p>
    <w:tbl>
      <w:tblPr>
        <w:tblStyle w:val="TableGrid"/>
        <w:tblpPr w:leftFromText="180" w:rightFromText="180" w:vertAnchor="page" w:horzAnchor="margin" w:tblpXSpec="center" w:tblpY="3631"/>
        <w:tblW w:w="0" w:type="dxa"/>
        <w:tblInd w:w="0" w:type="dxa"/>
        <w:tblLayout w:type="fixed"/>
        <w:tblLook w:val="04A0" w:firstRow="1" w:lastRow="0" w:firstColumn="1" w:lastColumn="0" w:noHBand="0" w:noVBand="1"/>
      </w:tblPr>
      <w:tblGrid>
        <w:gridCol w:w="1345"/>
        <w:gridCol w:w="900"/>
        <w:gridCol w:w="990"/>
        <w:gridCol w:w="990"/>
        <w:gridCol w:w="1080"/>
        <w:gridCol w:w="990"/>
        <w:gridCol w:w="900"/>
        <w:gridCol w:w="900"/>
      </w:tblGrid>
      <w:tr w:rsidR="00643280" w:rsidTr="00643280">
        <w:tc>
          <w:tcPr>
            <w:tcW w:w="134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2010-12</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 xml:space="preserve">2010-15 </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2010-16</w:t>
            </w:r>
          </w:p>
        </w:tc>
      </w:tr>
      <w:tr w:rsidR="00643280" w:rsidTr="00643280">
        <w:tc>
          <w:tcPr>
            <w:tcW w:w="134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Austria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(-68)</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(-222)</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(-172)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(-55)</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Belgium</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+97</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(-192)</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(-110)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(-120)</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Cyprus</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Finland</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(-56)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(-207)</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(-51)</w:t>
            </w:r>
          </w:p>
        </w:tc>
      </w:tr>
      <w:tr w:rsidR="00643280" w:rsidTr="00643280">
        <w:trPr>
          <w:trHeight w:val="257"/>
        </w:trPr>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 xml:space="preserve">France </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(-297)</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(-927)</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(-1,341)</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(-898)</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+66</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Germany</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(-191)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(-1,445)</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(-2,488)</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(-1,368)</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(-504)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(-155)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(-255)</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Greece</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Ireland</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Italy</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+210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+1,584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+2,560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+1,611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+749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+277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+482</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Luxembourg</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(-19)</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Malta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Netherlands</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(-161)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(-432)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(-746)</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(-472)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(-247)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(-185)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(-200)</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Portugal</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Slovakia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(-49)</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Slovenia</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+75</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(-49)</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(-60)</w:t>
            </w: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Spain</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+615</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+1,410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+2,582</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+1,586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+408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+295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+294</w:t>
            </w:r>
          </w:p>
        </w:tc>
      </w:tr>
      <w:tr w:rsidR="00643280" w:rsidTr="00643280">
        <w:tc>
          <w:tcPr>
            <w:tcW w:w="134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r>
      <w:tr w:rsidR="00643280" w:rsidTr="00643280">
        <w:tc>
          <w:tcPr>
            <w:tcW w:w="134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Total of Cumulative Fiscal Shocks</w:t>
            </w: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r>
    </w:tbl>
    <w:p w:rsidR="00643280" w:rsidRDefault="00643280" w:rsidP="00643280">
      <w:pPr>
        <w:jc w:val="center"/>
      </w:pPr>
    </w:p>
    <w:p w:rsidR="00643280" w:rsidRDefault="00643280" w:rsidP="00643280"/>
    <w:p w:rsidR="00643280" w:rsidRDefault="00643280" w:rsidP="00643280"/>
    <w:p w:rsidR="00643280" w:rsidRDefault="00643280" w:rsidP="00643280"/>
    <w:p w:rsidR="00643280" w:rsidRDefault="00643280" w:rsidP="00643280"/>
    <w:p w:rsidR="00643280" w:rsidRDefault="00643280" w:rsidP="00643280">
      <w:pPr>
        <w:jc w:val="center"/>
      </w:pPr>
      <w:r>
        <w:t xml:space="preserve">    </w:t>
      </w:r>
    </w:p>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jc w:val="center"/>
      </w:pPr>
    </w:p>
    <w:p w:rsidR="00643280" w:rsidRDefault="00643280" w:rsidP="00643280">
      <w:pPr>
        <w:keepNext/>
        <w:keepLines/>
        <w:tabs>
          <w:tab w:val="left" w:pos="1545"/>
        </w:tabs>
        <w:spacing w:after="0" w:line="240" w:lineRule="auto"/>
        <w:ind w:right="288"/>
        <w:jc w:val="center"/>
        <w:rPr>
          <w:rFonts w:cs="Times New Roman"/>
        </w:rPr>
      </w:pPr>
      <w:r>
        <w:rPr>
          <w:rFonts w:cs="Times New Roman"/>
        </w:rPr>
        <w:lastRenderedPageBreak/>
        <w:t xml:space="preserve">Table V </w:t>
      </w:r>
    </w:p>
    <w:p w:rsidR="00643280" w:rsidRDefault="00643280" w:rsidP="00643280">
      <w:pPr>
        <w:keepNext/>
        <w:keepLines/>
        <w:tabs>
          <w:tab w:val="left" w:pos="1545"/>
        </w:tabs>
        <w:spacing w:after="0" w:line="240" w:lineRule="auto"/>
        <w:ind w:right="288"/>
        <w:jc w:val="center"/>
        <w:rPr>
          <w:rFonts w:cs="Times New Roman"/>
        </w:rPr>
      </w:pPr>
    </w:p>
    <w:p w:rsidR="00643280" w:rsidRDefault="00643280" w:rsidP="00643280">
      <w:pPr>
        <w:keepNext/>
        <w:keepLines/>
        <w:tabs>
          <w:tab w:val="left" w:pos="1545"/>
        </w:tabs>
        <w:spacing w:after="0" w:line="240" w:lineRule="auto"/>
        <w:ind w:right="288"/>
        <w:jc w:val="center"/>
        <w:rPr>
          <w:rFonts w:cs="Times New Roman"/>
        </w:rPr>
      </w:pPr>
      <w:r>
        <w:rPr>
          <w:rFonts w:cs="Times New Roman"/>
        </w:rPr>
        <w:t>Eurozone Financing Cost Stabilization Account</w:t>
      </w:r>
    </w:p>
    <w:p w:rsidR="00643280" w:rsidRDefault="00643280" w:rsidP="00643280">
      <w:pPr>
        <w:keepNext/>
        <w:keepLines/>
        <w:tabs>
          <w:tab w:val="left" w:pos="1545"/>
        </w:tabs>
        <w:spacing w:after="0" w:line="240" w:lineRule="auto"/>
        <w:ind w:right="288"/>
        <w:jc w:val="center"/>
        <w:rPr>
          <w:rFonts w:cs="Times New Roman"/>
        </w:rPr>
      </w:pPr>
    </w:p>
    <w:p w:rsidR="00643280" w:rsidRDefault="00643280" w:rsidP="00643280">
      <w:pPr>
        <w:keepNext/>
        <w:keepLines/>
        <w:tabs>
          <w:tab w:val="left" w:pos="1545"/>
        </w:tabs>
        <w:spacing w:after="0" w:line="240" w:lineRule="auto"/>
        <w:ind w:right="288"/>
        <w:jc w:val="center"/>
        <w:rPr>
          <w:rFonts w:cs="Times New Roman"/>
        </w:rPr>
      </w:pPr>
      <w:r>
        <w:rPr>
          <w:rFonts w:cs="Times New Roman"/>
        </w:rPr>
        <w:t>Example Flows</w:t>
      </w:r>
    </w:p>
    <w:p w:rsidR="00643280" w:rsidRDefault="00643280" w:rsidP="00643280">
      <w:pPr>
        <w:keepNext/>
        <w:keepLines/>
        <w:tabs>
          <w:tab w:val="left" w:pos="1545"/>
        </w:tabs>
        <w:spacing w:after="0" w:line="240" w:lineRule="auto"/>
        <w:ind w:right="288"/>
        <w:rPr>
          <w:rFonts w:cs="Times New Roman"/>
        </w:rPr>
      </w:pPr>
    </w:p>
    <w:tbl>
      <w:tblPr>
        <w:tblStyle w:val="TableGrid"/>
        <w:tblW w:w="9090" w:type="dxa"/>
        <w:tblInd w:w="-5" w:type="dxa"/>
        <w:tblLook w:val="04A0" w:firstRow="1" w:lastRow="0" w:firstColumn="1" w:lastColumn="0" w:noHBand="0" w:noVBand="1"/>
      </w:tblPr>
      <w:tblGrid>
        <w:gridCol w:w="2610"/>
        <w:gridCol w:w="1620"/>
        <w:gridCol w:w="1620"/>
        <w:gridCol w:w="1620"/>
        <w:gridCol w:w="1620"/>
      </w:tblGrid>
      <w:tr w:rsidR="00643280" w:rsidTr="00643280">
        <w:tc>
          <w:tcPr>
            <w:tcW w:w="261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Year 1</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Year 2</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Year 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Year 4</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Bond issuance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A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B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C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€ 100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Current cost of funds </w:t>
            </w: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A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0.50%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2.50%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3.00%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B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3.50%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4.00%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C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3.00%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6.00%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4.50%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5.00%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Eurozone Benchmark</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2.83%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3.50%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4.00%</w:t>
            </w:r>
          </w:p>
        </w:tc>
      </w:tr>
      <w:tr w:rsidR="00643280" w:rsidTr="00643280">
        <w:tc>
          <w:tcPr>
            <w:tcW w:w="261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Current differential to Eurozone Benchmark</w:t>
            </w: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A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(-2.33)%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B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(-0.83)%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C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+3.17%</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All members (weighted)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r>
      <w:tr w:rsidR="00643280" w:rsidTr="00643280">
        <w:tc>
          <w:tcPr>
            <w:tcW w:w="261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Current differential – previous differential </w:t>
            </w: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A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(-1.33)%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+1.33%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B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(-0.83)%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+0.83%</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r>
      <w:tr w:rsidR="00643280" w:rsidTr="00643280">
        <w:trPr>
          <w:trHeight w:val="260"/>
        </w:trPr>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C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+2.17%</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(-2.17)%</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All members (weighted)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0.00%</w:t>
            </w:r>
          </w:p>
        </w:tc>
      </w:tr>
      <w:tr w:rsidR="00643280" w:rsidTr="00643280">
        <w:tc>
          <w:tcPr>
            <w:tcW w:w="261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Flows from EFCSA (50% reallocation) </w:t>
            </w: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A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€ 0.67)</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+€ 0.67</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B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€ 0.42)</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+€ 0.42</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C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€ 1.09</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€ 1.09)</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All members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r w:rsidR="00643280" w:rsidTr="00643280">
        <w:tc>
          <w:tcPr>
            <w:tcW w:w="261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rPr>
                <w:rFonts w:cs="Times New Roman"/>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Cumulative flows from EFCSA</w:t>
            </w: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43280" w:rsidRDefault="00643280">
            <w:pPr>
              <w:keepNext/>
              <w:keepLines/>
              <w:tabs>
                <w:tab w:val="left" w:pos="1545"/>
              </w:tabs>
              <w:spacing w:line="240" w:lineRule="auto"/>
              <w:jc w:val="center"/>
              <w:rPr>
                <w:rFonts w:cs="Times New Roman"/>
              </w:rPr>
            </w:pP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A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€ 0.67)</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B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€ 0.42)</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r w:rsidR="00643280" w:rsidTr="00643280">
        <w:trPr>
          <w:trHeight w:val="215"/>
        </w:trPr>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Member C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€ 1.09</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r w:rsidR="00643280" w:rsidTr="00643280">
        <w:tc>
          <w:tcPr>
            <w:tcW w:w="261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rPr>
                <w:rFonts w:cs="Times New Roman"/>
              </w:rPr>
            </w:pPr>
            <w:r>
              <w:rPr>
                <w:rFonts w:cs="Times New Roman"/>
              </w:rPr>
              <w:t xml:space="preserve">All members  </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ind w:right="288"/>
              <w:jc w:val="center"/>
              <w:rPr>
                <w:rFonts w:cs="Times New Roman"/>
              </w:rPr>
            </w:pPr>
            <w:r>
              <w:rPr>
                <w:rFonts w:cs="Times New Roman"/>
              </w:rPr>
              <w:t xml:space="preserve">      € 0.00</w:t>
            </w:r>
          </w:p>
        </w:tc>
        <w:tc>
          <w:tcPr>
            <w:tcW w:w="1620" w:type="dxa"/>
            <w:tcBorders>
              <w:top w:val="single" w:sz="4" w:space="0" w:color="auto"/>
              <w:left w:val="single" w:sz="4" w:space="0" w:color="auto"/>
              <w:bottom w:val="single" w:sz="4" w:space="0" w:color="auto"/>
              <w:right w:val="single" w:sz="4" w:space="0" w:color="auto"/>
            </w:tcBorders>
            <w:hideMark/>
          </w:tcPr>
          <w:p w:rsidR="00643280" w:rsidRDefault="00643280">
            <w:pPr>
              <w:keepNext/>
              <w:keepLines/>
              <w:tabs>
                <w:tab w:val="left" w:pos="1545"/>
              </w:tabs>
              <w:spacing w:line="240" w:lineRule="auto"/>
              <w:jc w:val="center"/>
              <w:rPr>
                <w:rFonts w:cs="Times New Roman"/>
              </w:rPr>
            </w:pPr>
            <w:r>
              <w:rPr>
                <w:rFonts w:cs="Times New Roman"/>
              </w:rPr>
              <w:t>€ 0.00</w:t>
            </w:r>
          </w:p>
        </w:tc>
      </w:tr>
    </w:tbl>
    <w:p w:rsidR="00643280" w:rsidRDefault="00643280" w:rsidP="00643280">
      <w:pPr>
        <w:jc w:val="center"/>
      </w:pPr>
    </w:p>
    <w:p w:rsidR="00643280" w:rsidRDefault="00643280" w:rsidP="00643280">
      <w:pPr>
        <w:jc w:val="center"/>
      </w:pPr>
      <w:r>
        <w:lastRenderedPageBreak/>
        <w:t>Table VI</w:t>
      </w:r>
    </w:p>
    <w:p w:rsidR="00643280" w:rsidRDefault="00643280" w:rsidP="00643280">
      <w:pPr>
        <w:jc w:val="center"/>
      </w:pPr>
      <w:r>
        <w:t xml:space="preserve">Eurozone Financing Cost Stabilization Account  </w:t>
      </w:r>
    </w:p>
    <w:p w:rsidR="00643280" w:rsidRDefault="00643280" w:rsidP="00643280">
      <w:pPr>
        <w:jc w:val="center"/>
      </w:pPr>
      <w:r>
        <w:t>EFCSA New Annual Flows</w:t>
      </w:r>
    </w:p>
    <w:p w:rsidR="00643280" w:rsidRDefault="00643280" w:rsidP="00643280">
      <w:pPr>
        <w:jc w:val="center"/>
      </w:pPr>
      <w:r>
        <w:t xml:space="preserve">(€ </w:t>
      </w:r>
      <w:proofErr w:type="gramStart"/>
      <w:r>
        <w:t>millions</w:t>
      </w:r>
      <w:proofErr w:type="gramEnd"/>
      <w:r>
        <w:t xml:space="preserve">) </w:t>
      </w:r>
    </w:p>
    <w:tbl>
      <w:tblPr>
        <w:tblStyle w:val="TableGrid"/>
        <w:tblpPr w:leftFromText="180" w:rightFromText="180" w:vertAnchor="page" w:horzAnchor="margin" w:tblpXSpec="center" w:tblpY="3646"/>
        <w:tblW w:w="0" w:type="dxa"/>
        <w:tblInd w:w="0" w:type="dxa"/>
        <w:tblLayout w:type="fixed"/>
        <w:tblLook w:val="04A0" w:firstRow="1" w:lastRow="0" w:firstColumn="1" w:lastColumn="0" w:noHBand="0" w:noVBand="1"/>
      </w:tblPr>
      <w:tblGrid>
        <w:gridCol w:w="1525"/>
        <w:gridCol w:w="1080"/>
        <w:gridCol w:w="991"/>
        <w:gridCol w:w="991"/>
        <w:gridCol w:w="991"/>
        <w:gridCol w:w="1081"/>
        <w:gridCol w:w="991"/>
        <w:gridCol w:w="991"/>
      </w:tblGrid>
      <w:tr w:rsidR="00643280" w:rsidTr="00643280">
        <w:tc>
          <w:tcPr>
            <w:tcW w:w="152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2013</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2016</w:t>
            </w:r>
          </w:p>
        </w:tc>
      </w:tr>
      <w:tr w:rsidR="00643280" w:rsidTr="00643280">
        <w:tc>
          <w:tcPr>
            <w:tcW w:w="152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108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Austria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+25</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Belgium</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(-145)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Cyprus</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Finland</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+37</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 xml:space="preserve">France </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(-148)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(-315)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(-207)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+221</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+411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Germany</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(-627)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(-521)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+560</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+432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+174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Greece</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Ireland</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Italy</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+687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+488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(-474)</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(-431)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(-236)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+103</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Luxembourg</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+9</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Malta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Netherlands</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(-135)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(-157)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+137</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+112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(-8)</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Portugal</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Slovakia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(-28)</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Slovenia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+12</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+17</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(-11)</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w:t>
            </w: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Spain</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+308</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+397</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+586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(-498)</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(-589)</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(-56)</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r>
      <w:tr w:rsidR="00643280" w:rsidTr="00643280">
        <w:tc>
          <w:tcPr>
            <w:tcW w:w="152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108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c>
          <w:tcPr>
            <w:tcW w:w="991"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pPr>
          </w:p>
        </w:tc>
      </w:tr>
      <w:tr w:rsidR="00643280" w:rsidTr="00643280">
        <w:tc>
          <w:tcPr>
            <w:tcW w:w="152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pPr>
            <w:r>
              <w:t xml:space="preserve">Total New Annual Flows </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108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c>
          <w:tcPr>
            <w:tcW w:w="991"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pPr>
            <w:r>
              <w:t>0</w:t>
            </w:r>
          </w:p>
        </w:tc>
      </w:tr>
    </w:tbl>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643280" w:rsidRDefault="00643280" w:rsidP="00643280">
      <w:pPr>
        <w:jc w:val="center"/>
      </w:pPr>
      <w:r>
        <w:lastRenderedPageBreak/>
        <w:t>Table VII</w:t>
      </w:r>
    </w:p>
    <w:p w:rsidR="00643280" w:rsidRDefault="00643280" w:rsidP="00643280">
      <w:pPr>
        <w:jc w:val="center"/>
      </w:pPr>
      <w:r>
        <w:t>Eurozone Financing Cost Stabilization Account</w:t>
      </w:r>
    </w:p>
    <w:p w:rsidR="00643280" w:rsidRDefault="00643280" w:rsidP="00643280">
      <w:pPr>
        <w:jc w:val="center"/>
      </w:pPr>
      <w:r>
        <w:t>EFCSA Cumulative Net Annual Flows</w:t>
      </w:r>
    </w:p>
    <w:p w:rsidR="00643280" w:rsidRDefault="00643280" w:rsidP="00643280">
      <w:pPr>
        <w:jc w:val="center"/>
      </w:pPr>
      <w:r>
        <w:t>(€ millions)</w:t>
      </w:r>
      <w:bookmarkStart w:id="0" w:name="_GoBack"/>
      <w:bookmarkEnd w:id="0"/>
    </w:p>
    <w:tbl>
      <w:tblPr>
        <w:tblStyle w:val="TableGrid"/>
        <w:tblpPr w:leftFromText="180" w:rightFromText="180" w:vertAnchor="page" w:horzAnchor="margin" w:tblpXSpec="center" w:tblpY="3631"/>
        <w:tblW w:w="0" w:type="dxa"/>
        <w:tblInd w:w="0" w:type="dxa"/>
        <w:tblLayout w:type="fixed"/>
        <w:tblLook w:val="04A0" w:firstRow="1" w:lastRow="0" w:firstColumn="1" w:lastColumn="0" w:noHBand="0" w:noVBand="1"/>
      </w:tblPr>
      <w:tblGrid>
        <w:gridCol w:w="1255"/>
        <w:gridCol w:w="1080"/>
        <w:gridCol w:w="900"/>
        <w:gridCol w:w="990"/>
        <w:gridCol w:w="990"/>
        <w:gridCol w:w="990"/>
        <w:gridCol w:w="1080"/>
        <w:gridCol w:w="1080"/>
      </w:tblGrid>
      <w:tr w:rsidR="00643280" w:rsidTr="00643280">
        <w:tc>
          <w:tcPr>
            <w:tcW w:w="125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2010-15</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2010-16</w:t>
            </w:r>
          </w:p>
        </w:tc>
      </w:tr>
      <w:tr w:rsidR="00643280" w:rsidTr="00643280">
        <w:tc>
          <w:tcPr>
            <w:tcW w:w="125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Austria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(-111)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(-28)</w:t>
            </w:r>
          </w:p>
        </w:tc>
      </w:tr>
      <w:tr w:rsidR="00643280" w:rsidTr="00643280">
        <w:trPr>
          <w:trHeight w:val="140"/>
        </w:trPr>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Belgium</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+49</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(-96)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(-61)</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(-55)</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(-60)</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Cyprus</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Finland</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(-67)</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(-67)</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(-26)</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 xml:space="preserve">France </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(-463)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(-670)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(-449)</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(-38)</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+33</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Germany</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(-95)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(-722)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(-1,244)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(-684)</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(-252)</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(-78)</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(-127)</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Greece</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Ireland</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Italy</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+105</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+792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+1,280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+806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+374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+138</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+241</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Luxembourg</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(-9)</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Malta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Netherlands</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(-80)</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(-216)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(-373)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(-236)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(-92)</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(-100)</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Portugal</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Slovakia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(-16)</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(-24)</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Slovenia</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+8</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+37</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(-30)</w:t>
            </w: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Spain</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+308</w:t>
            </w:r>
          </w:p>
        </w:tc>
        <w:tc>
          <w:tcPr>
            <w:tcW w:w="90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+705</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+1,291</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+793</w:t>
            </w:r>
          </w:p>
        </w:tc>
        <w:tc>
          <w:tcPr>
            <w:tcW w:w="99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+204</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+148</w:t>
            </w:r>
          </w:p>
        </w:tc>
        <w:tc>
          <w:tcPr>
            <w:tcW w:w="1080"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jc w:val="center"/>
              <w:rPr>
                <w:sz w:val="20"/>
                <w:szCs w:val="20"/>
              </w:rPr>
            </w:pPr>
            <w:r>
              <w:rPr>
                <w:sz w:val="20"/>
                <w:szCs w:val="20"/>
              </w:rPr>
              <w:t>+147</w:t>
            </w:r>
          </w:p>
        </w:tc>
      </w:tr>
      <w:tr w:rsidR="00643280" w:rsidTr="00643280">
        <w:tc>
          <w:tcPr>
            <w:tcW w:w="1255"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tc>
      </w:tr>
      <w:tr w:rsidR="00643280" w:rsidTr="00643280">
        <w:tc>
          <w:tcPr>
            <w:tcW w:w="1255" w:type="dxa"/>
            <w:tcBorders>
              <w:top w:val="single" w:sz="4" w:space="0" w:color="auto"/>
              <w:left w:val="single" w:sz="4" w:space="0" w:color="auto"/>
              <w:bottom w:val="single" w:sz="4" w:space="0" w:color="auto"/>
              <w:right w:val="single" w:sz="4" w:space="0" w:color="auto"/>
            </w:tcBorders>
            <w:hideMark/>
          </w:tcPr>
          <w:p w:rsidR="00643280" w:rsidRDefault="00643280">
            <w:pPr>
              <w:spacing w:line="240" w:lineRule="auto"/>
              <w:rPr>
                <w:sz w:val="20"/>
                <w:szCs w:val="20"/>
              </w:rPr>
            </w:pPr>
            <w:r>
              <w:rPr>
                <w:sz w:val="20"/>
                <w:szCs w:val="20"/>
              </w:rPr>
              <w:t>Total Cumulative Net Annual Flows</w:t>
            </w: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643280" w:rsidRDefault="00643280">
            <w:pPr>
              <w:spacing w:line="240" w:lineRule="auto"/>
              <w:jc w:val="center"/>
              <w:rPr>
                <w:sz w:val="20"/>
                <w:szCs w:val="20"/>
              </w:rPr>
            </w:pPr>
          </w:p>
          <w:p w:rsidR="00643280" w:rsidRDefault="00643280">
            <w:pPr>
              <w:spacing w:line="240" w:lineRule="auto"/>
              <w:jc w:val="center"/>
              <w:rPr>
                <w:sz w:val="20"/>
                <w:szCs w:val="20"/>
              </w:rPr>
            </w:pPr>
            <w:r>
              <w:rPr>
                <w:sz w:val="20"/>
                <w:szCs w:val="20"/>
              </w:rPr>
              <w:t>0</w:t>
            </w:r>
          </w:p>
        </w:tc>
      </w:tr>
    </w:tbl>
    <w:p w:rsidR="00643280" w:rsidRDefault="00643280" w:rsidP="00643280"/>
    <w:p w:rsidR="00643280" w:rsidRDefault="00643280" w:rsidP="00643280"/>
    <w:p w:rsidR="00643280" w:rsidRDefault="00643280" w:rsidP="00643280"/>
    <w:p w:rsidR="00643280" w:rsidRDefault="00643280" w:rsidP="00643280"/>
    <w:p w:rsidR="00643280" w:rsidRDefault="00643280" w:rsidP="00643280"/>
    <w:p w:rsidR="00A80430" w:rsidRDefault="00A80430"/>
    <w:sectPr w:rsidR="00A80430" w:rsidSect="00094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7A" w:rsidRDefault="00DC517A" w:rsidP="00643280">
      <w:pPr>
        <w:spacing w:after="0" w:line="240" w:lineRule="auto"/>
      </w:pPr>
      <w:r>
        <w:separator/>
      </w:r>
    </w:p>
  </w:endnote>
  <w:endnote w:type="continuationSeparator" w:id="0">
    <w:p w:rsidR="00DC517A" w:rsidRDefault="00DC517A" w:rsidP="0064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0" w:rsidRDefault="000948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53248"/>
      <w:docPartObj>
        <w:docPartGallery w:val="Page Numbers (Bottom of Page)"/>
        <w:docPartUnique/>
      </w:docPartObj>
    </w:sdtPr>
    <w:sdtEndPr>
      <w:rPr>
        <w:noProof/>
      </w:rPr>
    </w:sdtEndPr>
    <w:sdtContent>
      <w:p w:rsidR="00094800" w:rsidRDefault="00094800">
        <w:pPr>
          <w:pStyle w:val="Footer"/>
          <w:jc w:val="center"/>
        </w:pPr>
        <w:r>
          <w:fldChar w:fldCharType="begin"/>
        </w:r>
        <w:r>
          <w:instrText xml:space="preserve"> PAGE   \* MERGEFORMAT </w:instrText>
        </w:r>
        <w:r>
          <w:fldChar w:fldCharType="separate"/>
        </w:r>
        <w:r w:rsidR="00725633">
          <w:rPr>
            <w:noProof/>
          </w:rPr>
          <w:t>14</w:t>
        </w:r>
        <w:r>
          <w:rPr>
            <w:noProof/>
          </w:rPr>
          <w:fldChar w:fldCharType="end"/>
        </w:r>
      </w:p>
    </w:sdtContent>
  </w:sdt>
  <w:p w:rsidR="00094800" w:rsidRDefault="000948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0" w:rsidRDefault="000948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7A" w:rsidRDefault="00DC517A" w:rsidP="00643280">
      <w:pPr>
        <w:spacing w:after="0" w:line="240" w:lineRule="auto"/>
      </w:pPr>
      <w:r>
        <w:separator/>
      </w:r>
    </w:p>
  </w:footnote>
  <w:footnote w:type="continuationSeparator" w:id="0">
    <w:p w:rsidR="00DC517A" w:rsidRDefault="00DC517A" w:rsidP="00643280">
      <w:pPr>
        <w:spacing w:after="0" w:line="240" w:lineRule="auto"/>
      </w:pPr>
      <w:r>
        <w:continuationSeparator/>
      </w:r>
    </w:p>
  </w:footnote>
  <w:footnote w:id="1">
    <w:p w:rsidR="00643280" w:rsidRDefault="00643280" w:rsidP="00643280">
      <w:pPr>
        <w:pStyle w:val="FootnoteText"/>
      </w:pPr>
      <w:r>
        <w:rPr>
          <w:rStyle w:val="FootnoteReference"/>
        </w:rPr>
        <w:footnoteRef/>
      </w:r>
      <w:r>
        <w:t xml:space="preserve"> </w:t>
      </w:r>
      <w:r>
        <w:rPr>
          <w:rFonts w:ascii="Times New Roman" w:hAnsi="Times New Roman" w:cs="Times New Roman"/>
        </w:rPr>
        <w:t xml:space="preserve">Though total flows into and out of the EFCSA will balance at all times, there will be small differences between flows and reflows for individual members because new bond issuance volumes change over time. Different liability management choices on the maturity structure of debt issuance by members will cause EFCSA funds received and contributed to differ slightly from the actual national budget impact of changes in relative financing costs.  </w:t>
      </w:r>
      <w:r>
        <w:t xml:space="preserve"> </w:t>
      </w:r>
    </w:p>
    <w:p w:rsidR="00643280" w:rsidRDefault="00643280" w:rsidP="00643280">
      <w:pPr>
        <w:pStyle w:val="FootnoteText"/>
      </w:pPr>
    </w:p>
  </w:footnote>
  <w:footnote w:id="2">
    <w:p w:rsidR="00643280" w:rsidRDefault="00643280" w:rsidP="00643280">
      <w:pPr>
        <w:pStyle w:val="FootnoteText"/>
      </w:pPr>
      <w:r>
        <w:rPr>
          <w:rStyle w:val="FootnoteReference"/>
        </w:rPr>
        <w:footnoteRef/>
      </w:r>
      <w:r>
        <w:t xml:space="preserve"> </w:t>
      </w:r>
      <w:r>
        <w:rPr>
          <w:rFonts w:ascii="Times New Roman" w:hAnsi="Times New Roman" w:cs="Times New Roman"/>
        </w:rPr>
        <w:t>If EFCSA reflow payments are made with a two year lag while initial flow payments are made without a lag, the sum of all EFCSA payments will not equal zero each year.  Over time, the sum of flow and reflow payments will still equal zero.  The annual mismatched amounts can be easily managed within the ESM Treasury operations.</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0" w:rsidRDefault="000948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0" w:rsidRDefault="000948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00" w:rsidRDefault="00094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0F"/>
    <w:rsid w:val="000662E7"/>
    <w:rsid w:val="00094800"/>
    <w:rsid w:val="0014660F"/>
    <w:rsid w:val="0036647A"/>
    <w:rsid w:val="00457133"/>
    <w:rsid w:val="00465360"/>
    <w:rsid w:val="00546A39"/>
    <w:rsid w:val="00626641"/>
    <w:rsid w:val="00643280"/>
    <w:rsid w:val="00646DED"/>
    <w:rsid w:val="006E7789"/>
    <w:rsid w:val="00725633"/>
    <w:rsid w:val="007F4ADE"/>
    <w:rsid w:val="00860F82"/>
    <w:rsid w:val="00870B49"/>
    <w:rsid w:val="00892F9C"/>
    <w:rsid w:val="00965045"/>
    <w:rsid w:val="0099056F"/>
    <w:rsid w:val="009F6EF9"/>
    <w:rsid w:val="00A242D6"/>
    <w:rsid w:val="00A80430"/>
    <w:rsid w:val="00C008EE"/>
    <w:rsid w:val="00C230F2"/>
    <w:rsid w:val="00CD156D"/>
    <w:rsid w:val="00D333AE"/>
    <w:rsid w:val="00DC517A"/>
    <w:rsid w:val="00DF6541"/>
    <w:rsid w:val="00F52A15"/>
    <w:rsid w:val="00F7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8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280"/>
    <w:rPr>
      <w:sz w:val="20"/>
      <w:szCs w:val="20"/>
    </w:rPr>
  </w:style>
  <w:style w:type="paragraph" w:styleId="Header">
    <w:name w:val="header"/>
    <w:basedOn w:val="Normal"/>
    <w:link w:val="HeaderChar"/>
    <w:uiPriority w:val="99"/>
    <w:unhideWhenUsed/>
    <w:rsid w:val="0064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80"/>
  </w:style>
  <w:style w:type="paragraph" w:styleId="Footer">
    <w:name w:val="footer"/>
    <w:basedOn w:val="Normal"/>
    <w:link w:val="FooterChar"/>
    <w:uiPriority w:val="99"/>
    <w:unhideWhenUsed/>
    <w:rsid w:val="0064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80"/>
  </w:style>
  <w:style w:type="paragraph" w:styleId="BalloonText">
    <w:name w:val="Balloon Text"/>
    <w:basedOn w:val="Normal"/>
    <w:link w:val="BalloonTextChar"/>
    <w:uiPriority w:val="99"/>
    <w:semiHidden/>
    <w:unhideWhenUsed/>
    <w:rsid w:val="0064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80"/>
    <w:rPr>
      <w:rFonts w:ascii="Segoe UI" w:hAnsi="Segoe UI" w:cs="Segoe UI"/>
      <w:sz w:val="18"/>
      <w:szCs w:val="18"/>
    </w:rPr>
  </w:style>
  <w:style w:type="character" w:styleId="FootnoteReference">
    <w:name w:val="footnote reference"/>
    <w:basedOn w:val="DefaultParagraphFont"/>
    <w:uiPriority w:val="99"/>
    <w:semiHidden/>
    <w:unhideWhenUsed/>
    <w:rsid w:val="00643280"/>
    <w:rPr>
      <w:vertAlign w:val="superscript"/>
    </w:rPr>
  </w:style>
  <w:style w:type="character" w:styleId="PlaceholderText">
    <w:name w:val="Placeholder Text"/>
    <w:basedOn w:val="DefaultParagraphFont"/>
    <w:uiPriority w:val="99"/>
    <w:semiHidden/>
    <w:rsid w:val="00643280"/>
    <w:rPr>
      <w:color w:val="808080"/>
    </w:rPr>
  </w:style>
  <w:style w:type="table" w:styleId="TableGrid">
    <w:name w:val="Table Grid"/>
    <w:basedOn w:val="TableNormal"/>
    <w:uiPriority w:val="39"/>
    <w:rsid w:val="0064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8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3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280"/>
    <w:rPr>
      <w:sz w:val="20"/>
      <w:szCs w:val="20"/>
    </w:rPr>
  </w:style>
  <w:style w:type="paragraph" w:styleId="Header">
    <w:name w:val="header"/>
    <w:basedOn w:val="Normal"/>
    <w:link w:val="HeaderChar"/>
    <w:uiPriority w:val="99"/>
    <w:unhideWhenUsed/>
    <w:rsid w:val="0064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80"/>
  </w:style>
  <w:style w:type="paragraph" w:styleId="Footer">
    <w:name w:val="footer"/>
    <w:basedOn w:val="Normal"/>
    <w:link w:val="FooterChar"/>
    <w:uiPriority w:val="99"/>
    <w:unhideWhenUsed/>
    <w:rsid w:val="0064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280"/>
  </w:style>
  <w:style w:type="paragraph" w:styleId="BalloonText">
    <w:name w:val="Balloon Text"/>
    <w:basedOn w:val="Normal"/>
    <w:link w:val="BalloonTextChar"/>
    <w:uiPriority w:val="99"/>
    <w:semiHidden/>
    <w:unhideWhenUsed/>
    <w:rsid w:val="0064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80"/>
    <w:rPr>
      <w:rFonts w:ascii="Segoe UI" w:hAnsi="Segoe UI" w:cs="Segoe UI"/>
      <w:sz w:val="18"/>
      <w:szCs w:val="18"/>
    </w:rPr>
  </w:style>
  <w:style w:type="character" w:styleId="FootnoteReference">
    <w:name w:val="footnote reference"/>
    <w:basedOn w:val="DefaultParagraphFont"/>
    <w:uiPriority w:val="99"/>
    <w:semiHidden/>
    <w:unhideWhenUsed/>
    <w:rsid w:val="00643280"/>
    <w:rPr>
      <w:vertAlign w:val="superscript"/>
    </w:rPr>
  </w:style>
  <w:style w:type="character" w:styleId="PlaceholderText">
    <w:name w:val="Placeholder Text"/>
    <w:basedOn w:val="DefaultParagraphFont"/>
    <w:uiPriority w:val="99"/>
    <w:semiHidden/>
    <w:rsid w:val="00643280"/>
    <w:rPr>
      <w:color w:val="808080"/>
    </w:rPr>
  </w:style>
  <w:style w:type="table" w:styleId="TableGrid">
    <w:name w:val="Table Grid"/>
    <w:basedOn w:val="TableNormal"/>
    <w:uiPriority w:val="39"/>
    <w:rsid w:val="0064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4302</Words>
  <Characters>24525</Characters>
  <Application>Microsoft Macintosh Word</Application>
  <DocSecurity>0</DocSecurity>
  <Lines>204</Lines>
  <Paragraphs>57</Paragraphs>
  <ScaleCrop>false</ScaleCrop>
  <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ALerrick</dc:creator>
  <cp:keywords/>
  <dc:description/>
  <cp:lastModifiedBy>Paul Murphy</cp:lastModifiedBy>
  <cp:revision>2</cp:revision>
  <dcterms:created xsi:type="dcterms:W3CDTF">2017-09-26T12:00:00Z</dcterms:created>
  <dcterms:modified xsi:type="dcterms:W3CDTF">2017-09-26T12:00:00Z</dcterms:modified>
</cp:coreProperties>
</file>